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E11C7" w14:textId="348B0001" w:rsidR="00EC64BF" w:rsidRPr="00026C1F" w:rsidRDefault="004F11C9" w:rsidP="00780EE1">
      <w:pPr>
        <w:pStyle w:val="Heading1"/>
        <w:pBdr>
          <w:top w:val="single" w:sz="4" w:space="10" w:color="808080" w:themeColor="background1" w:themeShade="80"/>
          <w:bottom w:val="single" w:sz="4" w:space="10" w:color="808080" w:themeColor="background1" w:themeShade="80"/>
        </w:pBdr>
        <w:rPr>
          <w:color w:val="808080" w:themeColor="background1" w:themeShade="80"/>
        </w:rPr>
      </w:pPr>
      <w:r w:rsidRPr="00026C1F">
        <w:rPr>
          <w:color w:val="808080" w:themeColor="background1" w:themeShade="80"/>
        </w:rPr>
        <w:t>Pre-contract disclosure statement for existing units</w:t>
      </w:r>
    </w:p>
    <w:p w14:paraId="174CE619" w14:textId="77777777" w:rsidR="00CE47A3" w:rsidRPr="00026C1F" w:rsidRDefault="00CE47A3" w:rsidP="00780EE1">
      <w:pPr>
        <w:pBdr>
          <w:top w:val="single" w:sz="4" w:space="1" w:color="808080" w:themeColor="background1" w:themeShade="80"/>
        </w:pBdr>
        <w:sectPr w:rsidR="00CE47A3" w:rsidRPr="00026C1F" w:rsidSect="00CE47A3">
          <w:headerReference w:type="default" r:id="rId8"/>
          <w:footerReference w:type="even" r:id="rId9"/>
          <w:footerReference w:type="default" r:id="rId10"/>
          <w:pgSz w:w="11906" w:h="16838"/>
          <w:pgMar w:top="2126" w:right="1134" w:bottom="2835" w:left="1021" w:header="709" w:footer="2217" w:gutter="0"/>
          <w:cols w:space="708"/>
          <w:titlePg/>
          <w:docGrid w:linePitch="360"/>
        </w:sectPr>
      </w:pPr>
    </w:p>
    <w:p w14:paraId="3860BB74" w14:textId="77777777" w:rsidR="00570E96" w:rsidRPr="00026C1F" w:rsidRDefault="00570E96" w:rsidP="00AA24F0">
      <w:pPr>
        <w:pStyle w:val="BodyText"/>
        <w:spacing w:before="240"/>
        <w:ind w:right="19"/>
        <w:rPr>
          <w:rFonts w:cs="Calibri"/>
          <w:lang w:val="en-NZ"/>
        </w:rPr>
      </w:pPr>
    </w:p>
    <w:p w14:paraId="7C2408A6" w14:textId="0E06DD34" w:rsidR="006812C0" w:rsidRPr="00026C1F" w:rsidRDefault="007C4837" w:rsidP="00AA24F0">
      <w:pPr>
        <w:pStyle w:val="BodyText"/>
        <w:spacing w:before="240"/>
        <w:ind w:right="19"/>
        <w:rPr>
          <w:rFonts w:cs="Calibri"/>
          <w:lang w:val="en-NZ"/>
        </w:rPr>
      </w:pPr>
      <w:r w:rsidRPr="00026C1F">
        <w:rPr>
          <w:rFonts w:cs="Calibri"/>
          <w:lang w:val="en-NZ"/>
        </w:rPr>
        <w:t>This is a sample template for providing the information required under Regulation 33(1) of the Unit Titles Regulations 2011 (the Regulation) for a pre-contract disclosure statement for existing units.  There is currently no prescribed form for this statement, the specific wording and layout used in this template are not requirements of the Regulation.</w:t>
      </w:r>
    </w:p>
    <w:p w14:paraId="4F7807C6" w14:textId="64D36372" w:rsidR="00570E96" w:rsidRPr="00026C1F" w:rsidRDefault="00570E96" w:rsidP="00570E96">
      <w:pPr>
        <w:pStyle w:val="BodyText"/>
        <w:spacing w:before="240"/>
        <w:ind w:left="1440" w:right="19" w:hanging="1440"/>
        <w:rPr>
          <w:rFonts w:cs="Calibri"/>
          <w:lang w:val="en-NZ"/>
        </w:rPr>
      </w:pPr>
      <w:r w:rsidRPr="00026C1F">
        <w:rPr>
          <w:rFonts w:cs="Calibri"/>
          <w:b/>
          <w:bCs/>
          <w:lang w:val="en-NZ"/>
        </w:rPr>
        <w:t>Important:</w:t>
      </w:r>
      <w:r w:rsidRPr="00026C1F">
        <w:rPr>
          <w:rFonts w:cs="Calibri"/>
          <w:lang w:val="en-NZ"/>
        </w:rPr>
        <w:tab/>
      </w:r>
      <w:r w:rsidRPr="00026C1F">
        <w:rPr>
          <w:rFonts w:cs="Calibri"/>
          <w:b/>
          <w:bCs/>
          <w:lang w:val="en-NZ"/>
        </w:rPr>
        <w:t>If the information required under Regulation 33(1) of the Unit Titles Regulations 2011 is not provided</w:t>
      </w:r>
      <w:r w:rsidR="008D25C6" w:rsidRPr="00026C1F">
        <w:rPr>
          <w:rFonts w:cs="Calibri"/>
          <w:b/>
          <w:bCs/>
          <w:lang w:val="en-NZ"/>
        </w:rPr>
        <w:t>,</w:t>
      </w:r>
      <w:r w:rsidRPr="00026C1F">
        <w:rPr>
          <w:rFonts w:cs="Calibri"/>
          <w:b/>
          <w:bCs/>
          <w:lang w:val="en-NZ"/>
        </w:rPr>
        <w:t xml:space="preserve"> or is inaccurate but is not corrected as the information required to complete this pre-contract disclosure statement or to correct the inaccuracy does not exist or cannot be found despite reasonable efforts, </w:t>
      </w:r>
      <w:r w:rsidR="008D25C6" w:rsidRPr="00026C1F">
        <w:rPr>
          <w:rFonts w:cs="Calibri"/>
          <w:b/>
          <w:bCs/>
          <w:lang w:val="en-NZ"/>
        </w:rPr>
        <w:t xml:space="preserve">then </w:t>
      </w:r>
      <w:r w:rsidRPr="00026C1F">
        <w:rPr>
          <w:rFonts w:cs="Calibri"/>
          <w:b/>
          <w:bCs/>
          <w:lang w:val="en-NZ"/>
        </w:rPr>
        <w:t>this must be noted in this pre-contract disclosure statement.</w:t>
      </w:r>
    </w:p>
    <w:p w14:paraId="15A97850" w14:textId="77777777" w:rsidR="008D25C6" w:rsidRPr="00026C1F" w:rsidRDefault="008D25C6" w:rsidP="008D25C6">
      <w:pPr>
        <w:pStyle w:val="BodyText"/>
        <w:spacing w:before="240"/>
        <w:ind w:right="17"/>
        <w:rPr>
          <w:rFonts w:cs="Calibri"/>
          <w:lang w:val="en-NZ"/>
        </w:rPr>
      </w:pPr>
      <w:r w:rsidRPr="00026C1F">
        <w:rPr>
          <w:rFonts w:cs="Calibri"/>
          <w:lang w:val="en-NZ"/>
        </w:rPr>
        <w:t>If the requirements of Section 146 of the Unit Titles Act 2010 (the Act) are not met, the settlement date agreed to in an agreement for sale and purchase may be delayed in accordance with Section 149 of the Act, or the agreement may be cancelled in accordance with Section 149A of the Act.</w:t>
      </w:r>
    </w:p>
    <w:p w14:paraId="77E3C4F0" w14:textId="76923DF1" w:rsidR="008D25C6" w:rsidRPr="00026C1F" w:rsidRDefault="008D25C6" w:rsidP="008D25C6">
      <w:pPr>
        <w:pStyle w:val="BodyText"/>
        <w:spacing w:before="240"/>
        <w:ind w:right="17"/>
        <w:rPr>
          <w:rFonts w:cs="Calibri"/>
          <w:lang w:val="en-NZ"/>
        </w:rPr>
      </w:pPr>
      <w:r w:rsidRPr="00026C1F">
        <w:rPr>
          <w:rFonts w:cs="Calibri"/>
          <w:lang w:val="en-NZ"/>
        </w:rPr>
        <w:t xml:space="preserve">For more information on delaying a settlement or cancelling an agreement for sale and purchase, refer to the pre-disclosure disclosure delay or cancel flowchart on the Unit Title Services website: </w:t>
      </w:r>
      <w:hyperlink r:id="rId11" w:history="1">
        <w:r w:rsidRPr="00026C1F">
          <w:rPr>
            <w:rStyle w:val="Hyperlink"/>
            <w:rFonts w:cs="Calibri"/>
            <w:lang w:val="en-NZ"/>
          </w:rPr>
          <w:t>unittitles.govt.nz</w:t>
        </w:r>
      </w:hyperlink>
      <w:r w:rsidRPr="00026C1F">
        <w:rPr>
          <w:rFonts w:cs="Calibri"/>
          <w:lang w:val="en-NZ"/>
        </w:rPr>
        <w:t xml:space="preserve">  </w:t>
      </w:r>
    </w:p>
    <w:p w14:paraId="635F41BB" w14:textId="58699473" w:rsidR="008D25C6" w:rsidRPr="00026C1F" w:rsidRDefault="008D25C6" w:rsidP="008D25C6">
      <w:pPr>
        <w:pStyle w:val="BodyText"/>
        <w:spacing w:before="240"/>
        <w:ind w:right="17"/>
        <w:rPr>
          <w:rFonts w:cs="Calibri"/>
          <w:lang w:val="en-NZ"/>
        </w:rPr>
      </w:pPr>
    </w:p>
    <w:p w14:paraId="2B1C5B8B" w14:textId="667F81CA" w:rsidR="008D25C6" w:rsidRPr="00026C1F" w:rsidRDefault="008D25C6" w:rsidP="008D25C6">
      <w:pPr>
        <w:pStyle w:val="BodyText"/>
        <w:spacing w:before="240"/>
        <w:ind w:right="17"/>
        <w:rPr>
          <w:rFonts w:ascii="Calibri Light" w:hAnsi="Calibri Light" w:cs="Calibri Light"/>
          <w:sz w:val="36"/>
          <w:szCs w:val="36"/>
          <w:lang w:val="en-NZ"/>
        </w:rPr>
      </w:pPr>
      <w:r w:rsidRPr="00026C1F">
        <w:rPr>
          <w:rFonts w:ascii="Calibri Light" w:hAnsi="Calibri Light" w:cs="Calibri Light"/>
          <w:sz w:val="36"/>
          <w:szCs w:val="36"/>
          <w:lang w:val="en-NZ"/>
        </w:rPr>
        <w:t>Pre-contract disclosure statement for existing units</w:t>
      </w:r>
    </w:p>
    <w:p w14:paraId="44A3134D" w14:textId="6B3292FE" w:rsidR="008D25C6" w:rsidRPr="00026C1F" w:rsidRDefault="008D25C6" w:rsidP="008D25C6">
      <w:pPr>
        <w:pStyle w:val="BodyText"/>
        <w:spacing w:before="240"/>
        <w:ind w:right="17"/>
        <w:rPr>
          <w:rFonts w:cs="Calibri"/>
          <w:i/>
          <w:iCs/>
          <w:sz w:val="18"/>
          <w:szCs w:val="18"/>
          <w:lang w:val="en-NZ"/>
        </w:rPr>
      </w:pPr>
      <w:r w:rsidRPr="00026C1F">
        <w:rPr>
          <w:rFonts w:cs="Calibri"/>
          <w:i/>
          <w:iCs/>
          <w:sz w:val="18"/>
          <w:szCs w:val="18"/>
          <w:lang w:val="en-NZ"/>
        </w:rPr>
        <w:t>Section 146, Unit Titles Act 2010</w:t>
      </w:r>
    </w:p>
    <w:p w14:paraId="0E3E1BC1" w14:textId="7FBB69CA" w:rsidR="008D25C6" w:rsidRPr="00026C1F" w:rsidRDefault="008D25C6" w:rsidP="008D25C6">
      <w:pPr>
        <w:pStyle w:val="BodyText"/>
        <w:spacing w:before="240"/>
        <w:ind w:right="17"/>
        <w:rPr>
          <w:rFonts w:cs="Calibri"/>
          <w:lang w:val="en-NZ"/>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544"/>
        <w:gridCol w:w="6084"/>
      </w:tblGrid>
      <w:tr w:rsidR="006359C5" w:rsidRPr="00026C1F" w14:paraId="2196A1C8" w14:textId="77777777" w:rsidTr="006359C5">
        <w:tc>
          <w:tcPr>
            <w:tcW w:w="3544" w:type="dxa"/>
            <w:tcBorders>
              <w:bottom w:val="nil"/>
              <w:right w:val="single" w:sz="4" w:space="0" w:color="auto"/>
            </w:tcBorders>
          </w:tcPr>
          <w:p w14:paraId="10CB81B8" w14:textId="6DED8D3A" w:rsidR="006359C5" w:rsidRPr="00026C1F" w:rsidRDefault="006359C5" w:rsidP="000614A1">
            <w:pPr>
              <w:pStyle w:val="BodyText"/>
              <w:spacing w:before="240" w:after="240"/>
              <w:ind w:right="17"/>
              <w:jc w:val="both"/>
              <w:rPr>
                <w:rFonts w:cs="Calibri"/>
                <w:lang w:val="en-NZ"/>
              </w:rPr>
            </w:pPr>
            <w:r w:rsidRPr="00026C1F">
              <w:rPr>
                <w:rFonts w:cs="Calibri"/>
                <w:lang w:val="en-NZ"/>
              </w:rPr>
              <w:t xml:space="preserve">Unit </w:t>
            </w:r>
            <w:r w:rsidR="00517AF2" w:rsidRPr="00026C1F">
              <w:rPr>
                <w:rFonts w:cs="Calibri"/>
                <w:lang w:val="en-NZ"/>
              </w:rPr>
              <w:t>n</w:t>
            </w:r>
            <w:r w:rsidRPr="00026C1F">
              <w:rPr>
                <w:rFonts w:cs="Calibri"/>
                <w:lang w:val="en-NZ"/>
              </w:rPr>
              <w:t>umber:</w:t>
            </w:r>
          </w:p>
        </w:tc>
        <w:tc>
          <w:tcPr>
            <w:tcW w:w="6084" w:type="dxa"/>
            <w:tcBorders>
              <w:left w:val="single" w:sz="4" w:space="0" w:color="auto"/>
            </w:tcBorders>
          </w:tcPr>
          <w:p w14:paraId="6A3C2CFC" w14:textId="3D9F04D1" w:rsidR="006359C5" w:rsidRPr="00026C1F" w:rsidRDefault="006359C5" w:rsidP="000614A1">
            <w:pPr>
              <w:pStyle w:val="BodyText"/>
              <w:spacing w:before="240" w:after="240"/>
              <w:ind w:right="17"/>
              <w:jc w:val="both"/>
              <w:rPr>
                <w:rFonts w:asciiTheme="minorHAnsi" w:hAnsiTheme="minorHAnsi" w:cstheme="minorHAnsi"/>
                <w:lang w:val="en-NZ"/>
              </w:rPr>
            </w:pPr>
            <w:r w:rsidRPr="00026C1F">
              <w:rPr>
                <w:rFonts w:asciiTheme="minorHAnsi" w:hAnsiTheme="minorHAnsi" w:cstheme="minorHAnsi"/>
                <w:lang w:val="en-NZ"/>
              </w:rPr>
              <w:t xml:space="preserve">Unit </w:t>
            </w:r>
            <w:r w:rsidR="00772C95">
              <w:rPr>
                <w:rFonts w:asciiTheme="minorHAnsi" w:hAnsiTheme="minorHAnsi" w:cstheme="minorHAnsi"/>
                <w:lang w:val="en-NZ"/>
              </w:rPr>
              <w:t>W201</w:t>
            </w:r>
          </w:p>
        </w:tc>
      </w:tr>
      <w:tr w:rsidR="006359C5" w:rsidRPr="00026C1F" w14:paraId="27EFA93F" w14:textId="77777777" w:rsidTr="006359C5">
        <w:tc>
          <w:tcPr>
            <w:tcW w:w="3544" w:type="dxa"/>
            <w:tcBorders>
              <w:top w:val="nil"/>
              <w:bottom w:val="nil"/>
              <w:right w:val="single" w:sz="4" w:space="0" w:color="auto"/>
            </w:tcBorders>
          </w:tcPr>
          <w:p w14:paraId="2AC92E27" w14:textId="0948A625" w:rsidR="006359C5" w:rsidRPr="00026C1F" w:rsidRDefault="006359C5" w:rsidP="000614A1">
            <w:pPr>
              <w:pStyle w:val="BodyText"/>
              <w:spacing w:before="240" w:after="240"/>
              <w:ind w:right="17"/>
              <w:jc w:val="both"/>
              <w:rPr>
                <w:rFonts w:cs="Calibri"/>
                <w:lang w:val="en-NZ"/>
              </w:rPr>
            </w:pPr>
            <w:r w:rsidRPr="00026C1F">
              <w:rPr>
                <w:rFonts w:cs="Calibri"/>
                <w:lang w:val="en-NZ"/>
              </w:rPr>
              <w:t>Unit Plan:</w:t>
            </w:r>
          </w:p>
        </w:tc>
        <w:tc>
          <w:tcPr>
            <w:tcW w:w="6084" w:type="dxa"/>
            <w:tcBorders>
              <w:left w:val="single" w:sz="4" w:space="0" w:color="auto"/>
            </w:tcBorders>
          </w:tcPr>
          <w:p w14:paraId="02FC665D" w14:textId="2FD35BCD" w:rsidR="006359C5" w:rsidRPr="00026C1F" w:rsidRDefault="00772C95" w:rsidP="000614A1">
            <w:pPr>
              <w:pStyle w:val="BodyText"/>
              <w:spacing w:before="240" w:after="240"/>
              <w:ind w:right="17"/>
              <w:jc w:val="both"/>
              <w:rPr>
                <w:rFonts w:asciiTheme="minorHAnsi" w:hAnsiTheme="minorHAnsi" w:cstheme="minorHAnsi"/>
                <w:lang w:val="en-NZ"/>
              </w:rPr>
            </w:pPr>
            <w:r w:rsidRPr="00772C95">
              <w:rPr>
                <w:rFonts w:asciiTheme="minorHAnsi" w:hAnsiTheme="minorHAnsi" w:cstheme="minorHAnsi"/>
                <w:lang w:val="en-NZ"/>
              </w:rPr>
              <w:t>Deposited Plan 548838</w:t>
            </w:r>
          </w:p>
        </w:tc>
      </w:tr>
      <w:tr w:rsidR="006359C5" w:rsidRPr="00026C1F" w14:paraId="411DFC83" w14:textId="77777777" w:rsidTr="006359C5">
        <w:tc>
          <w:tcPr>
            <w:tcW w:w="3544" w:type="dxa"/>
            <w:tcBorders>
              <w:top w:val="nil"/>
              <w:right w:val="single" w:sz="4" w:space="0" w:color="auto"/>
            </w:tcBorders>
          </w:tcPr>
          <w:p w14:paraId="303C96DA" w14:textId="0D14FA2E" w:rsidR="006359C5" w:rsidRPr="00026C1F" w:rsidRDefault="006359C5" w:rsidP="000614A1">
            <w:pPr>
              <w:pStyle w:val="BodyText"/>
              <w:spacing w:before="240" w:after="240"/>
              <w:ind w:right="17"/>
              <w:jc w:val="both"/>
              <w:rPr>
                <w:rFonts w:cs="Calibri"/>
                <w:lang w:val="en-NZ"/>
              </w:rPr>
            </w:pPr>
            <w:r w:rsidRPr="00026C1F">
              <w:rPr>
                <w:rFonts w:cs="Calibri"/>
                <w:lang w:val="en-NZ"/>
              </w:rPr>
              <w:t xml:space="preserve">Body Corporate </w:t>
            </w:r>
            <w:r w:rsidR="00517AF2" w:rsidRPr="00026C1F">
              <w:rPr>
                <w:rFonts w:cs="Calibri"/>
                <w:lang w:val="en-NZ"/>
              </w:rPr>
              <w:t>n</w:t>
            </w:r>
            <w:r w:rsidRPr="00026C1F">
              <w:rPr>
                <w:rFonts w:cs="Calibri"/>
                <w:lang w:val="en-NZ"/>
              </w:rPr>
              <w:t>umber:</w:t>
            </w:r>
          </w:p>
        </w:tc>
        <w:tc>
          <w:tcPr>
            <w:tcW w:w="6084" w:type="dxa"/>
            <w:tcBorders>
              <w:left w:val="single" w:sz="4" w:space="0" w:color="auto"/>
            </w:tcBorders>
          </w:tcPr>
          <w:p w14:paraId="1F74062F" w14:textId="447F476C" w:rsidR="006359C5" w:rsidRPr="00026C1F" w:rsidRDefault="00772C95" w:rsidP="000614A1">
            <w:pPr>
              <w:pStyle w:val="BodyText"/>
              <w:spacing w:before="240" w:after="240"/>
              <w:ind w:right="17"/>
              <w:jc w:val="both"/>
              <w:rPr>
                <w:rFonts w:asciiTheme="minorHAnsi" w:hAnsiTheme="minorHAnsi" w:cstheme="minorHAnsi"/>
                <w:lang w:val="en-NZ"/>
              </w:rPr>
            </w:pPr>
            <w:r>
              <w:rPr>
                <w:rFonts w:asciiTheme="minorHAnsi" w:hAnsiTheme="minorHAnsi" w:cstheme="minorHAnsi"/>
                <w:lang w:val="en-NZ"/>
              </w:rPr>
              <w:t>548838</w:t>
            </w:r>
          </w:p>
        </w:tc>
      </w:tr>
    </w:tbl>
    <w:p w14:paraId="272FBF68" w14:textId="77777777" w:rsidR="00934558" w:rsidRPr="00026C1F" w:rsidRDefault="00934558">
      <w:pPr>
        <w:spacing w:before="0" w:after="200" w:line="276" w:lineRule="auto"/>
        <w:rPr>
          <w:rFonts w:cs="Calibri"/>
        </w:rPr>
      </w:pPr>
    </w:p>
    <w:p w14:paraId="1DE83C7F" w14:textId="4E0EC1DB" w:rsidR="00CE47A3" w:rsidRPr="00026C1F" w:rsidRDefault="00CE47A3">
      <w:pPr>
        <w:spacing w:before="0" w:after="200" w:line="276" w:lineRule="auto"/>
        <w:rPr>
          <w:rFonts w:ascii="Calibri" w:eastAsia="Calibri" w:hAnsi="Calibri" w:cs="Calibri"/>
        </w:rPr>
      </w:pPr>
      <w:r w:rsidRPr="00026C1F">
        <w:rPr>
          <w:rFonts w:cs="Calibri"/>
        </w:rPr>
        <w:br w:type="page"/>
      </w:r>
    </w:p>
    <w:p w14:paraId="71658C08" w14:textId="62BCE992" w:rsidR="00CE47A3" w:rsidRPr="00026C1F" w:rsidRDefault="005B4BD3" w:rsidP="00AA24F0">
      <w:pPr>
        <w:pStyle w:val="BodyText"/>
        <w:spacing w:before="240"/>
        <w:ind w:right="19"/>
        <w:rPr>
          <w:rFonts w:asciiTheme="minorHAnsi" w:hAnsiTheme="minorHAnsi" w:cstheme="minorHAnsi"/>
          <w:sz w:val="28"/>
          <w:szCs w:val="28"/>
          <w:lang w:val="en-NZ"/>
        </w:rPr>
      </w:pPr>
      <w:r w:rsidRPr="00026C1F">
        <w:rPr>
          <w:rFonts w:asciiTheme="minorHAnsi" w:hAnsiTheme="minorHAnsi" w:cstheme="minorHAnsi"/>
          <w:sz w:val="28"/>
          <w:szCs w:val="28"/>
          <w:lang w:val="en-NZ"/>
        </w:rPr>
        <w:lastRenderedPageBreak/>
        <w:t>Pre-contract disclosure statement for existing units</w:t>
      </w:r>
    </w:p>
    <w:p w14:paraId="32649015" w14:textId="44F0C06D" w:rsidR="00934558" w:rsidRPr="00026C1F" w:rsidRDefault="00934558" w:rsidP="005B4BD3">
      <w:pPr>
        <w:pStyle w:val="BodyText"/>
        <w:spacing w:before="240"/>
        <w:ind w:left="720" w:right="19" w:hanging="720"/>
        <w:rPr>
          <w:rFonts w:asciiTheme="minorHAnsi" w:hAnsiTheme="minorHAnsi" w:cstheme="minorHAnsi"/>
          <w:lang w:val="en-NZ"/>
        </w:rPr>
      </w:pPr>
      <w:r w:rsidRPr="00026C1F">
        <w:rPr>
          <w:rFonts w:asciiTheme="minorHAnsi" w:hAnsiTheme="minorHAnsi" w:cstheme="minorHAnsi"/>
          <w:lang w:val="en-NZ"/>
        </w:rPr>
        <w:t>1</w:t>
      </w:r>
      <w:r w:rsidR="005B4BD3" w:rsidRPr="00026C1F">
        <w:rPr>
          <w:rFonts w:asciiTheme="minorHAnsi" w:hAnsiTheme="minorHAnsi" w:cstheme="minorHAnsi"/>
          <w:lang w:val="en-NZ"/>
        </w:rPr>
        <w:tab/>
        <w:t xml:space="preserve">This pre-contract disclosure statement is provided to prospective buyers of the property in accordance with </w:t>
      </w:r>
      <w:r w:rsidR="00517AF2" w:rsidRPr="00026C1F">
        <w:rPr>
          <w:rFonts w:asciiTheme="minorHAnsi" w:hAnsiTheme="minorHAnsi" w:cstheme="minorHAnsi"/>
          <w:lang w:val="en-NZ"/>
        </w:rPr>
        <w:t>S</w:t>
      </w:r>
      <w:r w:rsidR="005B4BD3" w:rsidRPr="00026C1F">
        <w:rPr>
          <w:rFonts w:asciiTheme="minorHAnsi" w:hAnsiTheme="minorHAnsi" w:cstheme="minorHAnsi"/>
          <w:lang w:val="en-NZ"/>
        </w:rPr>
        <w:t>ection 146(1) of the Unit Titles Act 2010.</w:t>
      </w:r>
    </w:p>
    <w:p w14:paraId="08B94FAE" w14:textId="26090A16" w:rsidR="005B4BD3" w:rsidRPr="00026C1F" w:rsidRDefault="00517AF2" w:rsidP="005B4BD3">
      <w:pPr>
        <w:pStyle w:val="BodyText"/>
        <w:spacing w:before="240"/>
        <w:ind w:left="720" w:right="19" w:hanging="720"/>
        <w:rPr>
          <w:rFonts w:asciiTheme="minorHAnsi" w:hAnsiTheme="minorHAnsi" w:cstheme="minorHAnsi"/>
          <w:sz w:val="28"/>
          <w:szCs w:val="28"/>
          <w:lang w:val="en-NZ"/>
        </w:rPr>
      </w:pPr>
      <w:r w:rsidRPr="00026C1F">
        <w:rPr>
          <w:rFonts w:asciiTheme="minorHAnsi" w:hAnsiTheme="minorHAnsi" w:cstheme="minorHAnsi"/>
          <w:sz w:val="28"/>
          <w:szCs w:val="28"/>
          <w:lang w:val="en-NZ"/>
        </w:rPr>
        <w:t>Financial information</w:t>
      </w:r>
    </w:p>
    <w:p w14:paraId="38F27FD6" w14:textId="6D98FB3D" w:rsidR="00517AF2" w:rsidRPr="00026C1F" w:rsidRDefault="00517AF2" w:rsidP="005B4BD3">
      <w:pPr>
        <w:pStyle w:val="BodyText"/>
        <w:spacing w:before="240"/>
        <w:ind w:left="720" w:right="19" w:hanging="720"/>
        <w:rPr>
          <w:rFonts w:asciiTheme="minorHAnsi" w:hAnsiTheme="minorHAnsi" w:cstheme="minorHAnsi"/>
          <w:lang w:val="en-NZ"/>
        </w:rPr>
      </w:pPr>
      <w:r w:rsidRPr="00026C1F">
        <w:rPr>
          <w:rFonts w:asciiTheme="minorHAnsi" w:hAnsiTheme="minorHAnsi" w:cstheme="minorHAnsi"/>
          <w:lang w:val="en-NZ"/>
        </w:rPr>
        <w:t>2</w:t>
      </w:r>
      <w:r w:rsidRPr="00026C1F">
        <w:rPr>
          <w:rFonts w:asciiTheme="minorHAnsi" w:hAnsiTheme="minorHAnsi" w:cstheme="minorHAnsi"/>
          <w:lang w:val="en-NZ"/>
        </w:rPr>
        <w:tab/>
        <w:t>The amount of the contribution levied by the body corporate under Section 121 of the Unit Titles Act 2010 in respect of the unit is $</w:t>
      </w:r>
      <w:r w:rsidR="00772C95" w:rsidRPr="00772C95">
        <w:rPr>
          <w:rFonts w:asciiTheme="minorHAnsi" w:hAnsiTheme="minorHAnsi" w:cstheme="minorHAnsi"/>
          <w:lang w:val="en-NZ"/>
        </w:rPr>
        <w:t>1,286.03</w:t>
      </w:r>
      <w:r w:rsidR="003F3426">
        <w:rPr>
          <w:rFonts w:asciiTheme="minorHAnsi" w:hAnsiTheme="minorHAnsi" w:cstheme="minorHAnsi"/>
          <w:lang w:val="en-NZ"/>
        </w:rPr>
        <w:t xml:space="preserve"> per quarter.</w:t>
      </w:r>
    </w:p>
    <w:p w14:paraId="2AD2CBF4" w14:textId="1A4825EC" w:rsidR="00517AF2" w:rsidRPr="00026C1F" w:rsidRDefault="00517AF2" w:rsidP="005B4BD3">
      <w:pPr>
        <w:pStyle w:val="BodyText"/>
        <w:spacing w:before="240"/>
        <w:ind w:left="720" w:right="19" w:hanging="720"/>
        <w:rPr>
          <w:rFonts w:asciiTheme="minorHAnsi" w:hAnsiTheme="minorHAnsi" w:cstheme="minorHAnsi"/>
          <w:lang w:val="en-NZ"/>
        </w:rPr>
      </w:pPr>
      <w:r w:rsidRPr="00026C1F">
        <w:rPr>
          <w:rFonts w:asciiTheme="minorHAnsi" w:hAnsiTheme="minorHAnsi" w:cstheme="minorHAnsi"/>
          <w:lang w:val="en-NZ"/>
        </w:rPr>
        <w:t>3</w:t>
      </w:r>
      <w:r w:rsidRPr="00026C1F">
        <w:rPr>
          <w:rFonts w:asciiTheme="minorHAnsi" w:hAnsiTheme="minorHAnsi" w:cstheme="minorHAnsi"/>
          <w:lang w:val="en-NZ"/>
        </w:rPr>
        <w:tab/>
        <w:t xml:space="preserve">The period covered by the contribution in paragraph 2 is </w:t>
      </w:r>
      <w:r w:rsidR="00772C95">
        <w:rPr>
          <w:rFonts w:asciiTheme="minorHAnsi" w:hAnsiTheme="minorHAnsi" w:cstheme="minorHAnsi"/>
          <w:lang w:val="en-NZ"/>
        </w:rPr>
        <w:t>01 April 2025-31 March 2026</w:t>
      </w:r>
    </w:p>
    <w:p w14:paraId="55D880E3" w14:textId="171BAA5E" w:rsidR="00517AF2" w:rsidRDefault="00517AF2" w:rsidP="005B4BD3">
      <w:pPr>
        <w:pStyle w:val="BodyText"/>
        <w:spacing w:before="240"/>
        <w:ind w:left="720" w:right="19" w:hanging="720"/>
        <w:rPr>
          <w:rFonts w:asciiTheme="minorHAnsi" w:hAnsiTheme="minorHAnsi" w:cstheme="minorHAnsi"/>
          <w:lang w:val="en-NZ"/>
        </w:rPr>
      </w:pPr>
      <w:r w:rsidRPr="00026C1F">
        <w:rPr>
          <w:rFonts w:asciiTheme="minorHAnsi" w:hAnsiTheme="minorHAnsi" w:cstheme="minorHAnsi"/>
          <w:lang w:val="en-NZ"/>
        </w:rPr>
        <w:t>4</w:t>
      </w:r>
      <w:r w:rsidRPr="00026C1F">
        <w:rPr>
          <w:rFonts w:asciiTheme="minorHAnsi" w:hAnsiTheme="minorHAnsi" w:cstheme="minorHAnsi"/>
          <w:lang w:val="en-NZ"/>
        </w:rPr>
        <w:tab/>
        <w:t>The body corporate has the following accounts:</w:t>
      </w:r>
    </w:p>
    <w:p w14:paraId="7BD64BF7" w14:textId="4489377F" w:rsidR="003F3426" w:rsidRPr="00026C1F" w:rsidRDefault="003F3426" w:rsidP="005B4BD3">
      <w:pPr>
        <w:pStyle w:val="BodyText"/>
        <w:spacing w:before="240"/>
        <w:ind w:left="720" w:right="19" w:hanging="720"/>
        <w:rPr>
          <w:rFonts w:asciiTheme="minorHAnsi" w:hAnsiTheme="minorHAnsi" w:cstheme="minorHAnsi"/>
          <w:lang w:val="en-NZ"/>
        </w:rPr>
      </w:pPr>
      <w:r>
        <w:rPr>
          <w:rFonts w:asciiTheme="minorHAnsi" w:hAnsiTheme="minorHAnsi" w:cstheme="minorHAnsi"/>
          <w:lang w:val="en-NZ"/>
        </w:rPr>
        <w:t xml:space="preserve">See the </w:t>
      </w:r>
      <w:r w:rsidRPr="003F3426">
        <w:rPr>
          <w:rFonts w:asciiTheme="minorHAnsi" w:hAnsiTheme="minorHAnsi" w:cstheme="minorHAnsi"/>
          <w:lang w:val="en-NZ"/>
        </w:rPr>
        <w:t>2026 Pinnacle_20260331_AnnualSpecialPurposeFinancialPositionReport</w:t>
      </w:r>
      <w:r>
        <w:rPr>
          <w:rFonts w:asciiTheme="minorHAnsi" w:hAnsiTheme="minorHAnsi" w:cstheme="minorHAnsi"/>
          <w:lang w:val="en-NZ"/>
        </w:rPr>
        <w:t>.pdf</w:t>
      </w:r>
    </w:p>
    <w:p w14:paraId="63B1120F" w14:textId="401C2EE6" w:rsidR="002643E9" w:rsidRPr="00026C1F" w:rsidRDefault="002643E9" w:rsidP="002643E9">
      <w:pPr>
        <w:pStyle w:val="BodyText"/>
        <w:pBdr>
          <w:top w:val="single" w:sz="4" w:space="1" w:color="auto"/>
          <w:left w:val="single" w:sz="4" w:space="4" w:color="auto"/>
          <w:bottom w:val="single" w:sz="4" w:space="1" w:color="auto"/>
          <w:right w:val="single" w:sz="4" w:space="4" w:color="auto"/>
        </w:pBdr>
        <w:spacing w:before="240"/>
        <w:ind w:left="851" w:right="19"/>
        <w:rPr>
          <w:rFonts w:asciiTheme="minorHAnsi" w:hAnsiTheme="minorHAnsi" w:cstheme="minorHAnsi"/>
          <w:sz w:val="18"/>
          <w:szCs w:val="18"/>
          <w:lang w:val="en-NZ"/>
        </w:rPr>
      </w:pPr>
      <w:r w:rsidRPr="00026C1F">
        <w:rPr>
          <w:rFonts w:asciiTheme="minorHAnsi" w:hAnsiTheme="minorHAnsi" w:cstheme="minorHAnsi"/>
          <w:sz w:val="18"/>
          <w:szCs w:val="18"/>
          <w:lang w:val="en-NZ"/>
        </w:rPr>
        <w:t>[</w:t>
      </w:r>
      <w:r w:rsidRPr="00026C1F">
        <w:rPr>
          <w:rFonts w:asciiTheme="minorHAnsi" w:hAnsiTheme="minorHAnsi" w:cstheme="minorHAnsi"/>
          <w:i/>
          <w:iCs/>
          <w:sz w:val="18"/>
          <w:szCs w:val="18"/>
          <w:lang w:val="en-NZ"/>
        </w:rPr>
        <w:t>Set out details of every account held by the body corporate, including the details of every fund or bank account held or operated by or on behalf of the body corporate together with the balance of every fund or bank account as at the last financial statement</w:t>
      </w:r>
      <w:r w:rsidR="00043D7B" w:rsidRPr="00026C1F">
        <w:rPr>
          <w:rFonts w:asciiTheme="minorHAnsi" w:hAnsiTheme="minorHAnsi" w:cstheme="minorHAnsi"/>
          <w:i/>
          <w:iCs/>
          <w:sz w:val="18"/>
          <w:szCs w:val="18"/>
          <w:lang w:val="en-NZ"/>
        </w:rPr>
        <w:t xml:space="preserve"> –</w:t>
      </w:r>
      <w:r w:rsidRPr="00026C1F">
        <w:rPr>
          <w:rFonts w:asciiTheme="minorHAnsi" w:hAnsiTheme="minorHAnsi" w:cstheme="minorHAnsi"/>
          <w:i/>
          <w:iCs/>
          <w:sz w:val="18"/>
          <w:szCs w:val="18"/>
          <w:lang w:val="en-NZ"/>
        </w:rPr>
        <w:t xml:space="preserve"> attach an extra sheet if required</w:t>
      </w:r>
      <w:r w:rsidRPr="00026C1F">
        <w:rPr>
          <w:rFonts w:asciiTheme="minorHAnsi" w:hAnsiTheme="minorHAnsi" w:cstheme="minorHAnsi"/>
          <w:sz w:val="18"/>
          <w:szCs w:val="18"/>
          <w:lang w:val="en-NZ"/>
        </w:rPr>
        <w:t>]</w:t>
      </w:r>
    </w:p>
    <w:p w14:paraId="6F9D658F" w14:textId="50DE1045" w:rsidR="001D648B" w:rsidRPr="00026C1F" w:rsidRDefault="002643E9" w:rsidP="000614A1">
      <w:pPr>
        <w:pStyle w:val="BodyText"/>
        <w:spacing w:before="240"/>
        <w:ind w:left="720" w:right="19" w:hanging="720"/>
        <w:rPr>
          <w:rFonts w:asciiTheme="minorHAnsi" w:hAnsiTheme="minorHAnsi" w:cstheme="minorHAnsi"/>
          <w:i/>
          <w:iCs/>
          <w:sz w:val="18"/>
          <w:szCs w:val="18"/>
          <w:lang w:val="en-NZ"/>
        </w:rPr>
      </w:pPr>
      <w:r w:rsidRPr="00026C1F">
        <w:rPr>
          <w:rFonts w:asciiTheme="minorHAnsi" w:hAnsiTheme="minorHAnsi" w:cstheme="minorHAnsi"/>
          <w:lang w:val="en-NZ"/>
        </w:rPr>
        <w:t>5</w:t>
      </w:r>
      <w:r w:rsidRPr="00026C1F">
        <w:rPr>
          <w:rFonts w:asciiTheme="minorHAnsi" w:hAnsiTheme="minorHAnsi" w:cstheme="minorHAnsi"/>
          <w:lang w:val="en-NZ"/>
        </w:rPr>
        <w:tab/>
      </w:r>
      <w:r w:rsidRPr="00284EC9">
        <w:rPr>
          <w:rFonts w:asciiTheme="minorHAnsi" w:hAnsiTheme="minorHAnsi" w:cstheme="minorHAnsi"/>
          <w:b/>
          <w:bCs/>
          <w:lang w:val="en-NZ"/>
        </w:rPr>
        <w:t>The body corporate financial statements and audit reports for the last three years.</w:t>
      </w:r>
      <w:r w:rsidR="00043D7B" w:rsidRPr="00026C1F">
        <w:rPr>
          <w:rFonts w:asciiTheme="minorHAnsi" w:hAnsiTheme="minorHAnsi" w:cstheme="minorHAnsi"/>
          <w:i/>
          <w:iCs/>
          <w:sz w:val="18"/>
          <w:szCs w:val="18"/>
          <w:lang w:val="en-NZ"/>
        </w:rPr>
        <w:t xml:space="preserve"> </w:t>
      </w:r>
    </w:p>
    <w:p w14:paraId="7222F969" w14:textId="77777777" w:rsidR="008565D9" w:rsidRPr="00026C1F" w:rsidRDefault="008565D9" w:rsidP="000614A1">
      <w:pPr>
        <w:pStyle w:val="BodyText"/>
        <w:spacing w:before="240"/>
        <w:ind w:left="720" w:right="19" w:hanging="720"/>
        <w:rPr>
          <w:rFonts w:asciiTheme="minorHAnsi" w:hAnsiTheme="minorHAnsi" w:cstheme="minorHAnsi"/>
          <w:i/>
          <w:iCs/>
          <w:sz w:val="18"/>
          <w:szCs w:val="18"/>
          <w:lang w:val="en-NZ"/>
        </w:rPr>
      </w:pPr>
    </w:p>
    <w:tbl>
      <w:tblPr>
        <w:tblStyle w:val="TableGrid"/>
        <w:tblW w:w="0" w:type="auto"/>
        <w:tblInd w:w="72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989"/>
        <w:gridCol w:w="6929"/>
      </w:tblGrid>
      <w:tr w:rsidR="00043D7B" w:rsidRPr="00026C1F" w14:paraId="707F2F5C" w14:textId="77777777" w:rsidTr="00B56379">
        <w:tc>
          <w:tcPr>
            <w:tcW w:w="1989" w:type="dxa"/>
          </w:tcPr>
          <w:p w14:paraId="190B8EB1" w14:textId="06A98F4D" w:rsidR="001D648B" w:rsidRPr="00026C1F" w:rsidRDefault="00043D7B" w:rsidP="001D648B">
            <w:pPr>
              <w:pStyle w:val="BodyText"/>
              <w:spacing w:before="240" w:after="240"/>
              <w:ind w:right="17"/>
              <w:rPr>
                <w:rFonts w:asciiTheme="minorHAnsi" w:hAnsiTheme="minorHAnsi" w:cstheme="minorHAnsi"/>
                <w:lang w:val="en-NZ"/>
              </w:rPr>
            </w:pPr>
            <w:bookmarkStart w:id="0" w:name="_Hlk134715662"/>
            <w:r w:rsidRPr="00026C1F">
              <w:rPr>
                <w:rFonts w:asciiTheme="minorHAnsi" w:hAnsiTheme="minorHAnsi" w:cstheme="minorHAnsi"/>
                <w:lang w:val="en-NZ"/>
              </w:rPr>
              <w:t xml:space="preserve">Year ended </w:t>
            </w:r>
            <w:r w:rsidR="00B56379">
              <w:rPr>
                <w:rFonts w:asciiTheme="minorHAnsi" w:hAnsiTheme="minorHAnsi" w:cstheme="minorHAnsi"/>
                <w:lang w:val="en-NZ"/>
              </w:rPr>
              <w:t>2023-2025</w:t>
            </w:r>
            <w:r w:rsidRPr="00026C1F">
              <w:rPr>
                <w:rFonts w:asciiTheme="minorHAnsi" w:hAnsiTheme="minorHAnsi" w:cstheme="minorHAnsi"/>
                <w:lang w:val="en-NZ"/>
              </w:rPr>
              <w:t xml:space="preserve"> </w:t>
            </w:r>
          </w:p>
          <w:p w14:paraId="5D794C2A" w14:textId="55C81F79" w:rsidR="00043D7B" w:rsidRPr="00026C1F" w:rsidRDefault="001D648B" w:rsidP="001D648B">
            <w:pPr>
              <w:pStyle w:val="BodyText"/>
              <w:spacing w:before="240" w:after="240"/>
              <w:ind w:right="17"/>
              <w:rPr>
                <w:rFonts w:asciiTheme="minorHAnsi" w:hAnsiTheme="minorHAnsi" w:cstheme="minorHAnsi"/>
                <w:i/>
                <w:iCs/>
                <w:lang w:val="en-NZ"/>
              </w:rPr>
            </w:pPr>
            <w:r w:rsidRPr="00026C1F">
              <w:rPr>
                <w:rFonts w:asciiTheme="minorHAnsi" w:hAnsiTheme="minorHAnsi" w:cstheme="minorHAnsi"/>
                <w:i/>
                <w:iCs/>
                <w:sz w:val="18"/>
                <w:szCs w:val="18"/>
                <w:lang w:val="en-NZ"/>
              </w:rPr>
              <w:t>The</w:t>
            </w:r>
            <w:r w:rsidR="00043D7B" w:rsidRPr="00026C1F">
              <w:rPr>
                <w:rFonts w:asciiTheme="minorHAnsi" w:hAnsiTheme="minorHAnsi" w:cstheme="minorHAnsi"/>
                <w:i/>
                <w:iCs/>
                <w:sz w:val="18"/>
                <w:szCs w:val="18"/>
                <w:lang w:val="en-NZ"/>
              </w:rPr>
              <w:t xml:space="preserve"> immediate past financial year</w:t>
            </w:r>
            <w:r w:rsidRPr="00026C1F">
              <w:rPr>
                <w:rFonts w:asciiTheme="minorHAnsi" w:hAnsiTheme="minorHAnsi" w:cstheme="minorHAnsi"/>
                <w:i/>
                <w:iCs/>
                <w:sz w:val="18"/>
                <w:szCs w:val="18"/>
                <w:lang w:val="en-NZ"/>
              </w:rPr>
              <w:t>.</w:t>
            </w:r>
          </w:p>
        </w:tc>
        <w:tc>
          <w:tcPr>
            <w:tcW w:w="6929" w:type="dxa"/>
          </w:tcPr>
          <w:p w14:paraId="2A92FAD6" w14:textId="7C278907" w:rsidR="008565D9" w:rsidRPr="00026C1F" w:rsidRDefault="008565D9" w:rsidP="000614A1">
            <w:pPr>
              <w:pStyle w:val="BodyText"/>
              <w:spacing w:before="240" w:after="240"/>
              <w:ind w:left="720" w:right="19" w:hanging="720"/>
              <w:rPr>
                <w:rFonts w:asciiTheme="minorHAnsi" w:hAnsiTheme="minorHAnsi" w:cstheme="minorHAnsi"/>
                <w:bdr w:val="single" w:sz="4" w:space="0" w:color="auto"/>
                <w:lang w:val="en-NZ"/>
              </w:rPr>
            </w:pPr>
            <w:r w:rsidRPr="00026C1F">
              <w:rPr>
                <w:rFonts w:asciiTheme="minorHAnsi" w:hAnsiTheme="minorHAnsi" w:cstheme="minorHAnsi"/>
                <w:lang w:val="en-NZ"/>
              </w:rPr>
              <w:t xml:space="preserve">The body corporate financial statement </w:t>
            </w:r>
            <w:r w:rsidRPr="00026C1F">
              <w:rPr>
                <w:rFonts w:asciiTheme="minorHAnsi" w:hAnsiTheme="minorHAnsi" w:cstheme="minorHAnsi"/>
                <w:i/>
                <w:iCs/>
                <w:sz w:val="18"/>
                <w:szCs w:val="18"/>
                <w:lang w:val="en-NZ"/>
              </w:rPr>
              <w:t>(select one)</w:t>
            </w:r>
          </w:p>
          <w:p w14:paraId="4D1F099B" w14:textId="5F22E7C4" w:rsidR="00043D7B" w:rsidRDefault="00043D7B" w:rsidP="000614A1">
            <w:pPr>
              <w:pStyle w:val="BodyText"/>
              <w:spacing w:before="240" w:after="240"/>
              <w:ind w:left="720" w:right="19" w:hanging="720"/>
              <w:rPr>
                <w:rFonts w:asciiTheme="minorHAnsi" w:hAnsiTheme="minorHAnsi" w:cstheme="minorHAnsi"/>
                <w:lang w:val="en-NZ"/>
              </w:rPr>
            </w:pPr>
            <w:r w:rsidRPr="00026C1F">
              <w:rPr>
                <w:rFonts w:asciiTheme="minorHAnsi" w:hAnsiTheme="minorHAnsi" w:cstheme="minorHAnsi"/>
                <w:bdr w:val="single" w:sz="4" w:space="0" w:color="auto"/>
                <w:lang w:val="en-NZ"/>
              </w:rPr>
              <w:t xml:space="preserve">   </w:t>
            </w:r>
            <w:r w:rsidR="003F3426">
              <w:rPr>
                <w:rFonts w:asciiTheme="minorHAnsi" w:hAnsiTheme="minorHAnsi" w:cstheme="minorHAnsi"/>
                <w:bdr w:val="single" w:sz="4" w:space="0" w:color="auto"/>
                <w:lang w:val="en-NZ"/>
              </w:rPr>
              <w:t>X</w:t>
            </w:r>
            <w:r w:rsidRPr="00026C1F">
              <w:rPr>
                <w:rFonts w:asciiTheme="minorHAnsi" w:hAnsiTheme="minorHAnsi" w:cstheme="minorHAnsi"/>
                <w:bdr w:val="single" w:sz="4" w:space="0" w:color="auto"/>
                <w:lang w:val="en-NZ"/>
              </w:rPr>
              <w:t xml:space="preserve">  </w:t>
            </w:r>
            <w:r w:rsidRPr="00026C1F">
              <w:rPr>
                <w:rFonts w:asciiTheme="minorHAnsi" w:hAnsiTheme="minorHAnsi" w:cstheme="minorHAnsi"/>
                <w:lang w:val="en-NZ"/>
              </w:rPr>
              <w:t xml:space="preserve">  is attached</w:t>
            </w:r>
          </w:p>
          <w:p w14:paraId="57620085" w14:textId="24CBE258" w:rsidR="003F3426" w:rsidRDefault="003F3426" w:rsidP="000614A1">
            <w:pPr>
              <w:pStyle w:val="BodyText"/>
              <w:spacing w:before="240" w:after="240"/>
              <w:ind w:left="720" w:right="19" w:hanging="720"/>
              <w:rPr>
                <w:rFonts w:asciiTheme="minorHAnsi" w:hAnsiTheme="minorHAnsi" w:cstheme="minorHAnsi"/>
                <w:lang w:val="en-NZ"/>
              </w:rPr>
            </w:pPr>
            <w:r w:rsidRPr="003F3426">
              <w:rPr>
                <w:rFonts w:asciiTheme="minorHAnsi" w:hAnsiTheme="minorHAnsi" w:cstheme="minorHAnsi"/>
                <w:lang w:val="en-NZ"/>
              </w:rPr>
              <w:t>2026 Pinnacle_20260331_AnnualSpecialPurposeFinancialPositionReport</w:t>
            </w:r>
          </w:p>
          <w:p w14:paraId="676AD61B" w14:textId="5CCD2590" w:rsidR="003F3426" w:rsidRPr="00026C1F" w:rsidRDefault="003F3426" w:rsidP="000614A1">
            <w:pPr>
              <w:pStyle w:val="BodyText"/>
              <w:spacing w:before="240" w:after="240"/>
              <w:ind w:left="720" w:right="19" w:hanging="720"/>
              <w:rPr>
                <w:rFonts w:asciiTheme="minorHAnsi" w:hAnsiTheme="minorHAnsi" w:cstheme="minorHAnsi"/>
                <w:lang w:val="en-NZ"/>
              </w:rPr>
            </w:pPr>
            <w:r w:rsidRPr="003F3426">
              <w:rPr>
                <w:rFonts w:asciiTheme="minorHAnsi" w:hAnsiTheme="minorHAnsi" w:cstheme="minorHAnsi"/>
                <w:lang w:val="en-NZ"/>
              </w:rPr>
              <w:t>2025 Pinnacle_20260331_AnnualSpecialPurposeFinancialPositionReport</w:t>
            </w:r>
          </w:p>
          <w:p w14:paraId="1AB36796" w14:textId="416C5F56" w:rsidR="008565D9" w:rsidRPr="00026C1F" w:rsidRDefault="008565D9" w:rsidP="000614A1">
            <w:pPr>
              <w:pStyle w:val="BodyText"/>
              <w:spacing w:before="240" w:after="240"/>
              <w:ind w:right="19"/>
              <w:rPr>
                <w:rFonts w:asciiTheme="minorHAnsi" w:hAnsiTheme="minorHAnsi" w:cstheme="minorHAnsi"/>
                <w:lang w:val="en-NZ"/>
              </w:rPr>
            </w:pPr>
            <w:r w:rsidRPr="00026C1F">
              <w:rPr>
                <w:rFonts w:asciiTheme="minorHAnsi" w:hAnsiTheme="minorHAnsi" w:cstheme="minorHAnsi"/>
                <w:lang w:val="en-NZ"/>
              </w:rPr>
              <w:t xml:space="preserve">The body corporate audit report </w:t>
            </w:r>
            <w:r w:rsidRPr="00026C1F">
              <w:rPr>
                <w:rFonts w:asciiTheme="minorHAnsi" w:hAnsiTheme="minorHAnsi" w:cstheme="minorHAnsi"/>
                <w:i/>
                <w:iCs/>
                <w:sz w:val="18"/>
                <w:szCs w:val="18"/>
                <w:lang w:val="en-NZ"/>
              </w:rPr>
              <w:t>(select one)</w:t>
            </w:r>
          </w:p>
          <w:p w14:paraId="1E610F1D" w14:textId="14B8D0FC" w:rsidR="00043D7B" w:rsidRPr="00026C1F" w:rsidRDefault="000614A1" w:rsidP="000614A1">
            <w:pPr>
              <w:pStyle w:val="BodyText"/>
              <w:spacing w:before="240" w:after="240"/>
              <w:ind w:right="19"/>
              <w:rPr>
                <w:rFonts w:asciiTheme="minorHAnsi" w:hAnsiTheme="minorHAnsi" w:cstheme="minorHAnsi"/>
                <w:lang w:val="en-NZ"/>
              </w:rPr>
            </w:pPr>
            <w:r w:rsidRPr="00026C1F">
              <w:rPr>
                <w:rFonts w:asciiTheme="minorHAnsi" w:hAnsiTheme="minorHAnsi" w:cstheme="minorHAnsi"/>
                <w:bdr w:val="single" w:sz="4" w:space="0" w:color="auto"/>
                <w:lang w:val="en-NZ"/>
              </w:rPr>
              <w:t xml:space="preserve">   </w:t>
            </w:r>
            <w:r w:rsidR="003F3426">
              <w:rPr>
                <w:rFonts w:asciiTheme="minorHAnsi" w:hAnsiTheme="minorHAnsi" w:cstheme="minorHAnsi"/>
                <w:bdr w:val="single" w:sz="4" w:space="0" w:color="auto"/>
                <w:lang w:val="en-NZ"/>
              </w:rPr>
              <w:t>X</w:t>
            </w:r>
            <w:r w:rsidRPr="00026C1F">
              <w:rPr>
                <w:rFonts w:asciiTheme="minorHAnsi" w:hAnsiTheme="minorHAnsi" w:cstheme="minorHAnsi"/>
                <w:bdr w:val="single" w:sz="4" w:space="0" w:color="auto"/>
                <w:lang w:val="en-NZ"/>
              </w:rPr>
              <w:t xml:space="preserve">  </w:t>
            </w:r>
            <w:r w:rsidRPr="00026C1F">
              <w:rPr>
                <w:rFonts w:asciiTheme="minorHAnsi" w:hAnsiTheme="minorHAnsi" w:cstheme="minorHAnsi"/>
                <w:lang w:val="en-NZ"/>
              </w:rPr>
              <w:t xml:space="preserve">  </w:t>
            </w:r>
            <w:r w:rsidR="001D648B" w:rsidRPr="00026C1F">
              <w:rPr>
                <w:rFonts w:asciiTheme="minorHAnsi" w:hAnsiTheme="minorHAnsi" w:cstheme="minorHAnsi"/>
                <w:lang w:val="en-NZ"/>
              </w:rPr>
              <w:t>is attached</w:t>
            </w:r>
            <w:r w:rsidR="00B56379">
              <w:rPr>
                <w:rFonts w:asciiTheme="minorHAnsi" w:hAnsiTheme="minorHAnsi" w:cstheme="minorHAnsi"/>
                <w:lang w:val="en-NZ"/>
              </w:rPr>
              <w:t xml:space="preserve"> – see AGM</w:t>
            </w:r>
          </w:p>
          <w:p w14:paraId="3C585CEC" w14:textId="416F44EA" w:rsidR="00B56379" w:rsidRDefault="00B56379" w:rsidP="00B56379">
            <w:pPr>
              <w:pStyle w:val="BodyText"/>
              <w:spacing w:before="240" w:after="240"/>
              <w:ind w:right="17"/>
              <w:rPr>
                <w:rFonts w:cstheme="minorHAnsi"/>
              </w:rPr>
            </w:pPr>
            <w:r>
              <w:rPr>
                <w:rFonts w:asciiTheme="minorHAnsi" w:hAnsiTheme="minorHAnsi" w:cstheme="minorHAnsi"/>
                <w:lang w:val="en-NZ"/>
              </w:rPr>
              <w:t xml:space="preserve">NOTE: BC mgmt. </w:t>
            </w:r>
            <w:proofErr w:type="gramStart"/>
            <w:r>
              <w:rPr>
                <w:rFonts w:asciiTheme="minorHAnsi" w:hAnsiTheme="minorHAnsi" w:cstheme="minorHAnsi"/>
                <w:lang w:val="en-NZ"/>
              </w:rPr>
              <w:t>have</w:t>
            </w:r>
            <w:proofErr w:type="gramEnd"/>
            <w:r>
              <w:rPr>
                <w:rFonts w:asciiTheme="minorHAnsi" w:hAnsiTheme="minorHAnsi" w:cstheme="minorHAnsi"/>
                <w:lang w:val="en-NZ"/>
              </w:rPr>
              <w:t xml:space="preserve"> stated:</w:t>
            </w:r>
          </w:p>
          <w:p w14:paraId="617677AB" w14:textId="580491F9" w:rsidR="00B56379" w:rsidRPr="00B56379" w:rsidRDefault="00B56379" w:rsidP="00B56379">
            <w:pPr>
              <w:pStyle w:val="BodyText"/>
              <w:numPr>
                <w:ilvl w:val="0"/>
                <w:numId w:val="26"/>
              </w:numPr>
              <w:spacing w:before="240" w:after="240"/>
              <w:ind w:right="17"/>
              <w:rPr>
                <w:rFonts w:cstheme="minorHAnsi"/>
                <w:color w:val="EE0000"/>
              </w:rPr>
            </w:pPr>
            <w:r w:rsidRPr="00B56379">
              <w:rPr>
                <w:rFonts w:cstheme="minorHAnsi"/>
              </w:rPr>
              <w:t>2023</w:t>
            </w:r>
            <w:r>
              <w:rPr>
                <w:rFonts w:cstheme="minorHAnsi"/>
              </w:rPr>
              <w:t>/4</w:t>
            </w:r>
            <w:r w:rsidRPr="00B56379">
              <w:rPr>
                <w:rFonts w:cstheme="minorHAnsi"/>
              </w:rPr>
              <w:t xml:space="preserve"> Financial Statement - I have generated the latest </w:t>
            </w:r>
            <w:proofErr w:type="gramStart"/>
            <w:r w:rsidRPr="00B56379">
              <w:rPr>
                <w:rFonts w:cstheme="minorHAnsi"/>
              </w:rPr>
              <w:t>two, but</w:t>
            </w:r>
            <w:proofErr w:type="gramEnd"/>
            <w:r w:rsidRPr="00B56379">
              <w:rPr>
                <w:rFonts w:cstheme="minorHAnsi"/>
              </w:rPr>
              <w:t xml:space="preserve"> have been asked for 3 and the portal doesn't have the option to do that - only 2024/2025 – </w:t>
            </w:r>
            <w:r w:rsidRPr="00B56379">
              <w:rPr>
                <w:rFonts w:cstheme="minorHAnsi"/>
                <w:color w:val="EE0000"/>
              </w:rPr>
              <w:t xml:space="preserve">ALL financial statements are contained within the AGM minutes and agendas for that year. The agendas hold the proposed </w:t>
            </w:r>
            <w:proofErr w:type="gramStart"/>
            <w:r w:rsidRPr="00B56379">
              <w:rPr>
                <w:rFonts w:cstheme="minorHAnsi"/>
                <w:color w:val="EE0000"/>
              </w:rPr>
              <w:t>budgets</w:t>
            </w:r>
            <w:proofErr w:type="gramEnd"/>
            <w:r w:rsidRPr="00B56379">
              <w:rPr>
                <w:rFonts w:cstheme="minorHAnsi"/>
                <w:color w:val="EE0000"/>
              </w:rPr>
              <w:t xml:space="preserve"> and the minutes hold the approved budgets.</w:t>
            </w:r>
          </w:p>
          <w:p w14:paraId="116BD2B5" w14:textId="5A4312D1" w:rsidR="00B56379" w:rsidRPr="00B56379" w:rsidRDefault="00B56379" w:rsidP="00B56379">
            <w:pPr>
              <w:pStyle w:val="BodyText"/>
              <w:numPr>
                <w:ilvl w:val="0"/>
                <w:numId w:val="26"/>
              </w:numPr>
              <w:spacing w:before="240" w:after="240"/>
              <w:ind w:right="17"/>
              <w:rPr>
                <w:rFonts w:cstheme="minorHAnsi"/>
              </w:rPr>
            </w:pPr>
            <w:r w:rsidRPr="00B56379">
              <w:rPr>
                <w:rFonts w:cstheme="minorHAnsi"/>
              </w:rPr>
              <w:t xml:space="preserve">Latest Annual report - </w:t>
            </w:r>
            <w:r w:rsidRPr="00B56379">
              <w:rPr>
                <w:rFonts w:cstheme="minorHAnsi"/>
                <w:color w:val="EE0000"/>
                <w:lang w:val="en-NZ"/>
              </w:rPr>
              <w:t>The annual reports are in the AGM papers.</w:t>
            </w:r>
          </w:p>
        </w:tc>
      </w:tr>
    </w:tbl>
    <w:bookmarkEnd w:id="0"/>
    <w:p w14:paraId="14EB8C6C" w14:textId="77777777" w:rsidR="00B56379" w:rsidRDefault="00B56379" w:rsidP="00B56379">
      <w:pPr>
        <w:pStyle w:val="BodyText"/>
        <w:spacing w:before="240" w:after="240"/>
        <w:ind w:left="720" w:right="19" w:hanging="720"/>
        <w:rPr>
          <w:rFonts w:asciiTheme="minorHAnsi" w:hAnsiTheme="minorHAnsi" w:cstheme="minorHAnsi"/>
          <w:lang w:val="en-NZ"/>
        </w:rPr>
      </w:pPr>
      <w:r w:rsidRPr="003F3426">
        <w:rPr>
          <w:rFonts w:asciiTheme="minorHAnsi" w:hAnsiTheme="minorHAnsi" w:cstheme="minorHAnsi"/>
          <w:lang w:val="en-NZ"/>
        </w:rPr>
        <w:t>2026 Pinnacle_20260331_AnnualSpecialPurposeFinancialPositionReport</w:t>
      </w:r>
    </w:p>
    <w:p w14:paraId="2B76BCB0" w14:textId="77777777" w:rsidR="00B56379" w:rsidRDefault="00B56379" w:rsidP="00B56379">
      <w:pPr>
        <w:pStyle w:val="BodyText"/>
        <w:spacing w:before="240" w:after="240"/>
        <w:ind w:left="720" w:right="19" w:hanging="720"/>
        <w:rPr>
          <w:rFonts w:asciiTheme="minorHAnsi" w:hAnsiTheme="minorHAnsi" w:cstheme="minorHAnsi"/>
          <w:lang w:val="en-NZ"/>
        </w:rPr>
      </w:pPr>
      <w:r w:rsidRPr="003F3426">
        <w:rPr>
          <w:rFonts w:asciiTheme="minorHAnsi" w:hAnsiTheme="minorHAnsi" w:cstheme="minorHAnsi"/>
          <w:lang w:val="en-NZ"/>
        </w:rPr>
        <w:t>2025 Pinnacle_20260331_AnnualSpecialPurposeFinancialPositionReport</w:t>
      </w:r>
    </w:p>
    <w:p w14:paraId="05318149" w14:textId="77777777" w:rsidR="00B56379" w:rsidRDefault="00B56379" w:rsidP="00B56379">
      <w:pPr>
        <w:pStyle w:val="BodyText"/>
        <w:spacing w:before="240" w:after="240"/>
        <w:ind w:left="720" w:right="19" w:hanging="720"/>
        <w:rPr>
          <w:rFonts w:asciiTheme="minorHAnsi" w:hAnsiTheme="minorHAnsi" w:cstheme="minorHAnsi"/>
          <w:lang w:val="en-NZ"/>
        </w:rPr>
      </w:pPr>
      <w:r w:rsidRPr="00B56379">
        <w:rPr>
          <w:rFonts w:asciiTheme="minorHAnsi" w:hAnsiTheme="minorHAnsi" w:cstheme="minorHAnsi"/>
          <w:lang w:val="en-NZ"/>
        </w:rPr>
        <w:t>2021-Minutes-AGM-Pinnacle-BC-548838---19-Oct-2021-_signed_</w:t>
      </w:r>
    </w:p>
    <w:p w14:paraId="57397CB9" w14:textId="77777777" w:rsidR="00B56379" w:rsidRDefault="00B56379" w:rsidP="00B56379">
      <w:pPr>
        <w:pStyle w:val="BodyText"/>
        <w:spacing w:before="240" w:after="240"/>
        <w:ind w:left="720" w:right="19" w:hanging="720"/>
        <w:rPr>
          <w:rFonts w:asciiTheme="minorHAnsi" w:hAnsiTheme="minorHAnsi" w:cstheme="minorHAnsi"/>
          <w:lang w:val="en-NZ"/>
        </w:rPr>
      </w:pPr>
      <w:r w:rsidRPr="00B56379">
        <w:rPr>
          <w:rFonts w:asciiTheme="minorHAnsi" w:hAnsiTheme="minorHAnsi" w:cstheme="minorHAnsi"/>
          <w:lang w:val="en-NZ"/>
        </w:rPr>
        <w:t>2022-Minutes-AGM-Pinnacle-BC-548838---5-Sept-2022-</w:t>
      </w:r>
    </w:p>
    <w:p w14:paraId="5372AFAE" w14:textId="77777777" w:rsidR="00B56379" w:rsidRDefault="00B56379" w:rsidP="00B56379">
      <w:pPr>
        <w:pStyle w:val="BodyText"/>
        <w:spacing w:before="240" w:after="240"/>
        <w:ind w:left="720" w:right="19" w:hanging="720"/>
        <w:rPr>
          <w:rFonts w:asciiTheme="minorHAnsi" w:hAnsiTheme="minorHAnsi" w:cstheme="minorHAnsi"/>
          <w:lang w:val="en-NZ"/>
        </w:rPr>
      </w:pPr>
      <w:r w:rsidRPr="00B56379">
        <w:rPr>
          <w:rFonts w:asciiTheme="minorHAnsi" w:hAnsiTheme="minorHAnsi" w:cstheme="minorHAnsi"/>
          <w:lang w:val="en-NZ"/>
        </w:rPr>
        <w:lastRenderedPageBreak/>
        <w:t>2023-Minutes-AGM-Pinnacle-BC-548838---21-Sept-2023</w:t>
      </w:r>
    </w:p>
    <w:p w14:paraId="71CA8451" w14:textId="77777777" w:rsidR="00B56379" w:rsidRPr="00026C1F" w:rsidRDefault="00B56379" w:rsidP="00B56379">
      <w:pPr>
        <w:pStyle w:val="BodyText"/>
        <w:spacing w:before="240" w:after="240"/>
        <w:ind w:left="720" w:right="19" w:hanging="720"/>
        <w:rPr>
          <w:rFonts w:asciiTheme="minorHAnsi" w:hAnsiTheme="minorHAnsi" w:cstheme="minorHAnsi"/>
          <w:sz w:val="18"/>
          <w:szCs w:val="18"/>
          <w:lang w:val="en-NZ"/>
        </w:rPr>
      </w:pPr>
      <w:r>
        <w:rPr>
          <w:rFonts w:asciiTheme="minorHAnsi" w:hAnsiTheme="minorHAnsi" w:cstheme="minorHAnsi"/>
          <w:lang w:val="en-NZ"/>
        </w:rPr>
        <w:t>2024 AGM due in Sep/oct</w:t>
      </w:r>
    </w:p>
    <w:p w14:paraId="381BB824" w14:textId="1C7C5477" w:rsidR="00E90F79" w:rsidRPr="00026C1F" w:rsidRDefault="00E90F79" w:rsidP="000614A1">
      <w:pPr>
        <w:pStyle w:val="BodyText"/>
        <w:spacing w:before="240"/>
        <w:ind w:left="720" w:right="19" w:hanging="720"/>
        <w:rPr>
          <w:rFonts w:asciiTheme="minorHAnsi" w:hAnsiTheme="minorHAnsi" w:cstheme="minorHAnsi"/>
          <w:sz w:val="28"/>
          <w:szCs w:val="28"/>
          <w:lang w:val="en-NZ"/>
        </w:rPr>
      </w:pPr>
      <w:r w:rsidRPr="00026C1F">
        <w:rPr>
          <w:rFonts w:asciiTheme="minorHAnsi" w:hAnsiTheme="minorHAnsi" w:cstheme="minorHAnsi"/>
          <w:sz w:val="28"/>
          <w:szCs w:val="28"/>
          <w:lang w:val="en-NZ"/>
        </w:rPr>
        <w:t>Maintenance, weathertightness and related matters</w:t>
      </w:r>
    </w:p>
    <w:p w14:paraId="528F9C39" w14:textId="548D60F4" w:rsidR="00E90F79" w:rsidRPr="00026C1F" w:rsidRDefault="00E90F79" w:rsidP="00E90F79">
      <w:pPr>
        <w:pStyle w:val="BodyText"/>
        <w:spacing w:before="240"/>
        <w:ind w:right="17"/>
        <w:rPr>
          <w:rFonts w:asciiTheme="minorHAnsi" w:hAnsiTheme="minorHAnsi" w:cstheme="minorHAnsi"/>
          <w:lang w:val="en-NZ"/>
        </w:rPr>
      </w:pPr>
      <w:r w:rsidRPr="00026C1F">
        <w:rPr>
          <w:rFonts w:asciiTheme="minorHAnsi" w:hAnsiTheme="minorHAnsi" w:cstheme="minorHAnsi"/>
          <w:lang w:val="en-NZ"/>
        </w:rPr>
        <w:t xml:space="preserve">For the purposes of this statement, a unit title is considered to have a </w:t>
      </w:r>
      <w:r w:rsidRPr="00284EC9">
        <w:rPr>
          <w:rFonts w:asciiTheme="minorHAnsi" w:hAnsiTheme="minorHAnsi" w:cstheme="minorHAnsi"/>
          <w:b/>
          <w:bCs/>
          <w:lang w:val="en-NZ"/>
        </w:rPr>
        <w:t>weathertightness issue</w:t>
      </w:r>
      <w:r w:rsidRPr="00026C1F">
        <w:rPr>
          <w:rFonts w:asciiTheme="minorHAnsi" w:hAnsiTheme="minorHAnsi" w:cstheme="minorHAnsi"/>
          <w:lang w:val="en-NZ"/>
        </w:rPr>
        <w:t xml:space="preserve"> if water has penetrated it because of some aspect of its design, construction, alteration, or of materials used in its construction or alteration, and the penetration of water is likely to cause or has caused damage to it.</w:t>
      </w:r>
    </w:p>
    <w:p w14:paraId="60654A47" w14:textId="5F37AB7B" w:rsidR="00517AF2" w:rsidRPr="00026C1F" w:rsidRDefault="00D45B7C" w:rsidP="005B4BD3">
      <w:pPr>
        <w:pStyle w:val="BodyText"/>
        <w:spacing w:before="240"/>
        <w:ind w:left="720" w:right="19" w:hanging="720"/>
        <w:rPr>
          <w:rFonts w:asciiTheme="minorHAnsi" w:hAnsiTheme="minorHAnsi" w:cstheme="minorHAnsi"/>
          <w:lang w:val="en-NZ"/>
        </w:rPr>
      </w:pPr>
      <w:r w:rsidRPr="00026C1F">
        <w:rPr>
          <w:rFonts w:asciiTheme="minorHAnsi" w:hAnsiTheme="minorHAnsi" w:cstheme="minorHAnsi"/>
          <w:lang w:val="en-NZ"/>
        </w:rPr>
        <w:t>6</w:t>
      </w:r>
      <w:r w:rsidR="000614A1" w:rsidRPr="00026C1F">
        <w:rPr>
          <w:rFonts w:asciiTheme="minorHAnsi" w:hAnsiTheme="minorHAnsi" w:cstheme="minorHAnsi"/>
          <w:lang w:val="en-NZ"/>
        </w:rPr>
        <w:tab/>
      </w:r>
      <w:r w:rsidR="00E90F79" w:rsidRPr="00026C1F">
        <w:rPr>
          <w:rFonts w:asciiTheme="minorHAnsi" w:hAnsiTheme="minorHAnsi" w:cstheme="minorHAnsi"/>
          <w:i/>
          <w:iCs/>
          <w:sz w:val="18"/>
          <w:szCs w:val="18"/>
          <w:lang w:val="en-NZ"/>
        </w:rPr>
        <w:t>Select the statement that applies:</w:t>
      </w:r>
    </w:p>
    <w:tbl>
      <w:tblPr>
        <w:tblStyle w:val="TableGrid"/>
        <w:tblW w:w="0" w:type="auto"/>
        <w:tblInd w:w="720" w:type="dxa"/>
        <w:tblLook w:val="04A0" w:firstRow="1" w:lastRow="0" w:firstColumn="1" w:lastColumn="0" w:noHBand="0" w:noVBand="1"/>
      </w:tblPr>
      <w:tblGrid>
        <w:gridCol w:w="8918"/>
      </w:tblGrid>
      <w:tr w:rsidR="004F5748" w:rsidRPr="00026C1F" w14:paraId="0E496169" w14:textId="77777777" w:rsidTr="004F5748">
        <w:tc>
          <w:tcPr>
            <w:tcW w:w="9628" w:type="dxa"/>
            <w:tcBorders>
              <w:top w:val="nil"/>
              <w:left w:val="nil"/>
              <w:bottom w:val="nil"/>
              <w:right w:val="nil"/>
            </w:tcBorders>
          </w:tcPr>
          <w:p w14:paraId="18A508A5" w14:textId="106ED566" w:rsidR="004F5748" w:rsidRPr="00026C1F" w:rsidRDefault="004F5748" w:rsidP="00B56379">
            <w:pPr>
              <w:pStyle w:val="BodyText"/>
              <w:spacing w:before="240"/>
              <w:ind w:right="19"/>
              <w:rPr>
                <w:rFonts w:asciiTheme="minorHAnsi" w:hAnsiTheme="minorHAnsi" w:cstheme="minorHAnsi"/>
                <w:lang w:val="en-NZ"/>
              </w:rPr>
            </w:pPr>
            <w:r w:rsidRPr="00026C1F">
              <w:rPr>
                <w:rFonts w:asciiTheme="minorHAnsi" w:hAnsiTheme="minorHAnsi" w:cstheme="minorHAnsi"/>
                <w:bdr w:val="single" w:sz="4" w:space="0" w:color="auto"/>
                <w:lang w:val="en-NZ"/>
              </w:rPr>
              <w:t xml:space="preserve">  </w:t>
            </w:r>
            <w:r w:rsidR="00B56379">
              <w:rPr>
                <w:rFonts w:asciiTheme="minorHAnsi" w:hAnsiTheme="minorHAnsi" w:cstheme="minorHAnsi"/>
                <w:bdr w:val="single" w:sz="4" w:space="0" w:color="auto"/>
                <w:lang w:val="en-NZ"/>
              </w:rPr>
              <w:t>x</w:t>
            </w:r>
            <w:r w:rsidRPr="00026C1F">
              <w:rPr>
                <w:rFonts w:asciiTheme="minorHAnsi" w:hAnsiTheme="minorHAnsi" w:cstheme="minorHAnsi"/>
                <w:bdr w:val="single" w:sz="4" w:space="0" w:color="auto"/>
                <w:lang w:val="en-NZ"/>
              </w:rPr>
              <w:t xml:space="preserve">   </w:t>
            </w:r>
            <w:r w:rsidRPr="00026C1F">
              <w:rPr>
                <w:rFonts w:asciiTheme="minorHAnsi" w:hAnsiTheme="minorHAnsi" w:cstheme="minorHAnsi"/>
                <w:lang w:val="en-NZ"/>
              </w:rPr>
              <w:t xml:space="preserve">  </w:t>
            </w:r>
            <w:proofErr w:type="gramStart"/>
            <w:r w:rsidRPr="00026C1F">
              <w:rPr>
                <w:rFonts w:asciiTheme="minorHAnsi" w:hAnsiTheme="minorHAnsi" w:cstheme="minorHAnsi"/>
                <w:lang w:val="en-NZ"/>
              </w:rPr>
              <w:t>The</w:t>
            </w:r>
            <w:proofErr w:type="gramEnd"/>
            <w:r w:rsidRPr="00026C1F">
              <w:rPr>
                <w:rFonts w:asciiTheme="minorHAnsi" w:hAnsiTheme="minorHAnsi" w:cstheme="minorHAnsi"/>
                <w:lang w:val="en-NZ"/>
              </w:rPr>
              <w:t xml:space="preserve"> long-term maintenance plan is attached</w:t>
            </w:r>
          </w:p>
        </w:tc>
      </w:tr>
    </w:tbl>
    <w:p w14:paraId="63708078" w14:textId="6587D4BE" w:rsidR="00D45B7C" w:rsidRPr="00026C1F" w:rsidRDefault="00B56379" w:rsidP="00D45B7C">
      <w:pPr>
        <w:pStyle w:val="BodyText"/>
        <w:pBdr>
          <w:top w:val="single" w:sz="4" w:space="1" w:color="auto"/>
          <w:left w:val="single" w:sz="4" w:space="4" w:color="auto"/>
          <w:bottom w:val="single" w:sz="4" w:space="1" w:color="auto"/>
          <w:right w:val="single" w:sz="4" w:space="4" w:color="auto"/>
        </w:pBdr>
        <w:spacing w:before="240"/>
        <w:ind w:left="851" w:right="19"/>
        <w:rPr>
          <w:rFonts w:asciiTheme="minorHAnsi" w:hAnsiTheme="minorHAnsi" w:cstheme="minorHAnsi"/>
          <w:sz w:val="18"/>
          <w:szCs w:val="18"/>
          <w:lang w:val="en-NZ"/>
        </w:rPr>
      </w:pPr>
      <w:r w:rsidRPr="00B56379">
        <w:rPr>
          <w:rFonts w:asciiTheme="minorHAnsi" w:hAnsiTheme="minorHAnsi" w:cstheme="minorHAnsi"/>
          <w:sz w:val="18"/>
          <w:szCs w:val="18"/>
          <w:lang w:val="en-NZ"/>
        </w:rPr>
        <w:t>160 Victoria Street Te-Aro_Long-Term-Maintenance-Plan_6-May-2025_R1-FINAL</w:t>
      </w:r>
    </w:p>
    <w:p w14:paraId="5E1A1F57" w14:textId="615DB235" w:rsidR="00D45B7C" w:rsidRPr="00026C1F" w:rsidRDefault="00D45B7C" w:rsidP="00D45B7C">
      <w:pPr>
        <w:pStyle w:val="BodyText"/>
        <w:spacing w:before="240"/>
        <w:ind w:right="19"/>
        <w:rPr>
          <w:rFonts w:asciiTheme="minorHAnsi" w:hAnsiTheme="minorHAnsi" w:cstheme="minorHAnsi"/>
          <w:lang w:val="en-NZ"/>
        </w:rPr>
      </w:pPr>
      <w:r w:rsidRPr="00026C1F">
        <w:rPr>
          <w:rFonts w:asciiTheme="minorHAnsi" w:hAnsiTheme="minorHAnsi" w:cstheme="minorHAnsi"/>
          <w:lang w:val="en-NZ"/>
        </w:rPr>
        <w:t>7</w:t>
      </w:r>
      <w:r w:rsidRPr="00026C1F">
        <w:rPr>
          <w:rFonts w:asciiTheme="minorHAnsi" w:hAnsiTheme="minorHAnsi" w:cstheme="minorHAnsi"/>
          <w:lang w:val="en-NZ"/>
        </w:rPr>
        <w:tab/>
        <w:t>The next review date for the long-term maintenance plan is</w:t>
      </w:r>
      <w:r w:rsidRPr="00026C1F">
        <w:rPr>
          <w:rFonts w:asciiTheme="minorHAnsi" w:hAnsiTheme="minorHAnsi" w:cstheme="minorHAnsi"/>
          <w:b/>
          <w:bCs/>
          <w:lang w:val="en-NZ"/>
        </w:rPr>
        <w:t xml:space="preserve"> </w:t>
      </w:r>
      <w:r w:rsidR="00B56379">
        <w:rPr>
          <w:rFonts w:asciiTheme="minorHAnsi" w:hAnsiTheme="minorHAnsi" w:cstheme="minorHAnsi"/>
          <w:lang w:val="en-NZ"/>
        </w:rPr>
        <w:t>March 2026.</w:t>
      </w:r>
    </w:p>
    <w:p w14:paraId="00C99C62" w14:textId="6AA0955B" w:rsidR="00D45B7C" w:rsidRPr="00026C1F" w:rsidRDefault="00D45B7C" w:rsidP="00D45B7C">
      <w:pPr>
        <w:pStyle w:val="BodyText"/>
        <w:spacing w:before="240"/>
        <w:ind w:left="720" w:right="19" w:hanging="720"/>
        <w:rPr>
          <w:sz w:val="23"/>
          <w:szCs w:val="23"/>
          <w:lang w:val="en-NZ"/>
        </w:rPr>
      </w:pPr>
      <w:r w:rsidRPr="00026C1F">
        <w:rPr>
          <w:rFonts w:asciiTheme="minorHAnsi" w:hAnsiTheme="minorHAnsi" w:cstheme="minorHAnsi"/>
          <w:lang w:val="en-NZ"/>
        </w:rPr>
        <w:t>8</w:t>
      </w:r>
      <w:r w:rsidRPr="00026C1F">
        <w:rPr>
          <w:rFonts w:asciiTheme="minorHAnsi" w:hAnsiTheme="minorHAnsi" w:cstheme="minorHAnsi"/>
          <w:lang w:val="en-NZ"/>
        </w:rPr>
        <w:tab/>
      </w:r>
      <w:r w:rsidRPr="00026C1F">
        <w:rPr>
          <w:sz w:val="23"/>
          <w:szCs w:val="23"/>
          <w:lang w:val="en-NZ"/>
        </w:rPr>
        <w:t>The body corporate proposes to carry out or begin the following works under the long-term maintenance plan in the next three years:</w:t>
      </w:r>
    </w:p>
    <w:p w14:paraId="2777CFA9" w14:textId="123A869F" w:rsidR="00D45B7C" w:rsidRPr="00026C1F" w:rsidRDefault="00B56379" w:rsidP="00D45B7C">
      <w:pPr>
        <w:pStyle w:val="BodyText"/>
        <w:pBdr>
          <w:top w:val="single" w:sz="4" w:space="1" w:color="auto"/>
          <w:left w:val="single" w:sz="4" w:space="4" w:color="auto"/>
          <w:bottom w:val="single" w:sz="4" w:space="1" w:color="auto"/>
          <w:right w:val="single" w:sz="4" w:space="4" w:color="auto"/>
        </w:pBdr>
        <w:spacing w:before="240"/>
        <w:ind w:left="851" w:right="19"/>
        <w:rPr>
          <w:rFonts w:asciiTheme="minorHAnsi" w:hAnsiTheme="minorHAnsi" w:cstheme="minorHAnsi"/>
          <w:sz w:val="18"/>
          <w:szCs w:val="18"/>
          <w:lang w:val="en-NZ"/>
        </w:rPr>
      </w:pPr>
      <w:r>
        <w:rPr>
          <w:rFonts w:asciiTheme="minorHAnsi" w:hAnsiTheme="minorHAnsi" w:cstheme="minorHAnsi"/>
          <w:sz w:val="18"/>
          <w:szCs w:val="18"/>
          <w:lang w:val="en-NZ"/>
        </w:rPr>
        <w:t>NIL</w:t>
      </w:r>
    </w:p>
    <w:p w14:paraId="2D8EC41D" w14:textId="6456DEA3" w:rsidR="00D45B7C" w:rsidRPr="00026C1F" w:rsidRDefault="00D45B7C" w:rsidP="00D45B7C">
      <w:pPr>
        <w:pStyle w:val="BodyText"/>
        <w:spacing w:before="240"/>
        <w:ind w:left="720" w:right="19" w:hanging="720"/>
        <w:rPr>
          <w:sz w:val="23"/>
          <w:szCs w:val="23"/>
          <w:lang w:val="en-NZ"/>
        </w:rPr>
      </w:pPr>
      <w:r w:rsidRPr="00026C1F">
        <w:rPr>
          <w:sz w:val="23"/>
          <w:szCs w:val="23"/>
          <w:lang w:val="en-NZ"/>
        </w:rPr>
        <w:t>9</w:t>
      </w:r>
      <w:r w:rsidRPr="00026C1F">
        <w:rPr>
          <w:sz w:val="23"/>
          <w:szCs w:val="23"/>
          <w:lang w:val="en-NZ"/>
        </w:rPr>
        <w:tab/>
        <w:t>The body corporate proposes to carry out the following maintenance on the unit title development in the year following the date of the disclosure statement:</w:t>
      </w:r>
    </w:p>
    <w:p w14:paraId="6D244C2D" w14:textId="4F7CDB1E" w:rsidR="00D45B7C" w:rsidRDefault="00B56379" w:rsidP="00D45B7C">
      <w:pPr>
        <w:pStyle w:val="BodyText"/>
        <w:pBdr>
          <w:top w:val="single" w:sz="4" w:space="1" w:color="auto"/>
          <w:left w:val="single" w:sz="4" w:space="4" w:color="auto"/>
          <w:bottom w:val="single" w:sz="4" w:space="1" w:color="auto"/>
          <w:right w:val="single" w:sz="4" w:space="4" w:color="auto"/>
        </w:pBdr>
        <w:spacing w:before="240"/>
        <w:ind w:left="851" w:right="19"/>
        <w:rPr>
          <w:rFonts w:asciiTheme="minorHAnsi" w:hAnsiTheme="minorHAnsi" w:cstheme="minorHAnsi"/>
          <w:sz w:val="18"/>
          <w:szCs w:val="18"/>
          <w:lang w:val="en-NZ"/>
        </w:rPr>
      </w:pPr>
      <w:r>
        <w:rPr>
          <w:rFonts w:asciiTheme="minorHAnsi" w:hAnsiTheme="minorHAnsi" w:cstheme="minorHAnsi"/>
          <w:sz w:val="18"/>
          <w:szCs w:val="18"/>
          <w:lang w:val="en-NZ"/>
        </w:rPr>
        <w:t>Normal building maintenance – window washing, lift maintenance etc.</w:t>
      </w:r>
    </w:p>
    <w:p w14:paraId="2F06F807" w14:textId="47A9C366" w:rsidR="00FC0804" w:rsidRPr="00026C1F" w:rsidRDefault="00FC0804" w:rsidP="00FC0804">
      <w:pPr>
        <w:pStyle w:val="BodyText"/>
        <w:pBdr>
          <w:top w:val="single" w:sz="4" w:space="1" w:color="auto"/>
          <w:left w:val="single" w:sz="4" w:space="4" w:color="auto"/>
          <w:bottom w:val="single" w:sz="4" w:space="1" w:color="auto"/>
          <w:right w:val="single" w:sz="4" w:space="4" w:color="auto"/>
        </w:pBdr>
        <w:spacing w:before="240"/>
        <w:ind w:left="851" w:right="19"/>
        <w:rPr>
          <w:rFonts w:asciiTheme="minorHAnsi" w:hAnsiTheme="minorHAnsi" w:cstheme="minorHAnsi"/>
          <w:sz w:val="18"/>
          <w:szCs w:val="18"/>
          <w:lang w:val="en-NZ"/>
        </w:rPr>
      </w:pPr>
      <w:r w:rsidRPr="00FC0804">
        <w:rPr>
          <w:rFonts w:cstheme="minorHAnsi"/>
          <w:sz w:val="18"/>
          <w:szCs w:val="18"/>
        </w:rPr>
        <w:t>The estimated Average Annual Maintenance Cost (Years 1-10) is $17,100.00 per</w:t>
      </w:r>
      <w:r>
        <w:rPr>
          <w:rFonts w:cstheme="minorHAnsi"/>
          <w:sz w:val="18"/>
          <w:szCs w:val="18"/>
        </w:rPr>
        <w:t xml:space="preserve"> </w:t>
      </w:r>
      <w:r w:rsidRPr="00FC0804">
        <w:rPr>
          <w:rFonts w:cstheme="minorHAnsi"/>
          <w:sz w:val="18"/>
          <w:szCs w:val="18"/>
        </w:rPr>
        <w:t xml:space="preserve">annum against Proposed Annual </w:t>
      </w:r>
      <w:r>
        <w:rPr>
          <w:rFonts w:cstheme="minorHAnsi"/>
          <w:sz w:val="18"/>
          <w:szCs w:val="18"/>
        </w:rPr>
        <w:t>c</w:t>
      </w:r>
      <w:r w:rsidRPr="00FC0804">
        <w:rPr>
          <w:rFonts w:cstheme="minorHAnsi"/>
          <w:sz w:val="18"/>
          <w:szCs w:val="18"/>
        </w:rPr>
        <w:t>ontributions of $94,500.00 PA per annum, and</w:t>
      </w:r>
      <w:r>
        <w:rPr>
          <w:rFonts w:cstheme="minorHAnsi"/>
          <w:sz w:val="18"/>
          <w:szCs w:val="18"/>
        </w:rPr>
        <w:t xml:space="preserve"> </w:t>
      </w:r>
      <w:r w:rsidRPr="00FC0804">
        <w:rPr>
          <w:rFonts w:asciiTheme="minorHAnsi" w:hAnsiTheme="minorHAnsi" w:cstheme="minorHAnsi"/>
          <w:sz w:val="18"/>
          <w:szCs w:val="18"/>
          <w:lang w:val="en-NZ"/>
        </w:rPr>
        <w:t>an opening balance of $259,978.00.</w:t>
      </w:r>
    </w:p>
    <w:p w14:paraId="36B2C6C3" w14:textId="5A9B8BD1" w:rsidR="00D45B7C" w:rsidRPr="00026C1F" w:rsidRDefault="00D45B7C" w:rsidP="00D45B7C">
      <w:pPr>
        <w:pStyle w:val="BodyText"/>
        <w:spacing w:before="240"/>
        <w:ind w:left="720" w:right="19" w:hanging="720"/>
        <w:rPr>
          <w:rFonts w:asciiTheme="minorHAnsi" w:hAnsiTheme="minorHAnsi" w:cstheme="minorHAnsi"/>
          <w:i/>
          <w:iCs/>
          <w:sz w:val="18"/>
          <w:szCs w:val="18"/>
          <w:lang w:val="en-NZ"/>
        </w:rPr>
      </w:pPr>
      <w:r w:rsidRPr="00026C1F">
        <w:rPr>
          <w:rFonts w:asciiTheme="minorHAnsi" w:hAnsiTheme="minorHAnsi" w:cstheme="minorHAnsi"/>
          <w:lang w:val="en-NZ"/>
        </w:rPr>
        <w:t>10</w:t>
      </w:r>
      <w:r w:rsidRPr="00026C1F">
        <w:rPr>
          <w:rFonts w:asciiTheme="minorHAnsi" w:hAnsiTheme="minorHAnsi" w:cstheme="minorHAnsi"/>
          <w:lang w:val="en-NZ"/>
        </w:rPr>
        <w:tab/>
      </w:r>
      <w:r w:rsidRPr="00026C1F">
        <w:rPr>
          <w:rFonts w:asciiTheme="minorHAnsi" w:hAnsiTheme="minorHAnsi" w:cstheme="minorHAnsi"/>
          <w:i/>
          <w:iCs/>
          <w:sz w:val="18"/>
          <w:szCs w:val="18"/>
          <w:lang w:val="en-NZ"/>
        </w:rPr>
        <w:t>Select the statement that applies:</w:t>
      </w:r>
    </w:p>
    <w:tbl>
      <w:tblPr>
        <w:tblStyle w:val="TableGrid"/>
        <w:tblW w:w="0" w:type="auto"/>
        <w:tblInd w:w="720" w:type="dxa"/>
        <w:tblLook w:val="04A0" w:firstRow="1" w:lastRow="0" w:firstColumn="1" w:lastColumn="0" w:noHBand="0" w:noVBand="1"/>
      </w:tblPr>
      <w:tblGrid>
        <w:gridCol w:w="8918"/>
      </w:tblGrid>
      <w:tr w:rsidR="00FE7D90" w:rsidRPr="00026C1F" w14:paraId="5F12245E" w14:textId="77777777" w:rsidTr="00FE7D90">
        <w:tc>
          <w:tcPr>
            <w:tcW w:w="9628" w:type="dxa"/>
            <w:tcBorders>
              <w:top w:val="nil"/>
              <w:left w:val="nil"/>
              <w:bottom w:val="nil"/>
              <w:right w:val="nil"/>
            </w:tcBorders>
          </w:tcPr>
          <w:p w14:paraId="6308AE43" w14:textId="5513FB14" w:rsidR="00FE7D90" w:rsidRPr="00026C1F" w:rsidRDefault="00FE7D90" w:rsidP="00FC0804">
            <w:pPr>
              <w:pStyle w:val="BodyText"/>
              <w:spacing w:before="240"/>
              <w:ind w:left="397" w:right="17" w:hanging="397"/>
              <w:rPr>
                <w:rFonts w:asciiTheme="minorHAnsi" w:hAnsiTheme="minorHAnsi" w:cstheme="minorHAnsi"/>
                <w:lang w:val="en-NZ"/>
              </w:rPr>
            </w:pPr>
            <w:r w:rsidRPr="00026C1F">
              <w:rPr>
                <w:rFonts w:asciiTheme="minorHAnsi" w:hAnsiTheme="minorHAnsi" w:cstheme="minorHAnsi"/>
                <w:bdr w:val="single" w:sz="4" w:space="0" w:color="auto"/>
                <w:lang w:val="en-NZ"/>
              </w:rPr>
              <w:t xml:space="preserve">  </w:t>
            </w:r>
            <w:r w:rsidR="00FC0804">
              <w:rPr>
                <w:rFonts w:asciiTheme="minorHAnsi" w:hAnsiTheme="minorHAnsi" w:cstheme="minorHAnsi"/>
                <w:bdr w:val="single" w:sz="4" w:space="0" w:color="auto"/>
                <w:lang w:val="en-NZ"/>
              </w:rPr>
              <w:t>x</w:t>
            </w:r>
            <w:r w:rsidRPr="00026C1F">
              <w:rPr>
                <w:rFonts w:asciiTheme="minorHAnsi" w:hAnsiTheme="minorHAnsi" w:cstheme="minorHAnsi"/>
                <w:bdr w:val="single" w:sz="4" w:space="0" w:color="auto"/>
                <w:lang w:val="en-NZ"/>
              </w:rPr>
              <w:t xml:space="preserve">   </w:t>
            </w:r>
            <w:r w:rsidRPr="00026C1F">
              <w:rPr>
                <w:rFonts w:asciiTheme="minorHAnsi" w:hAnsiTheme="minorHAnsi" w:cstheme="minorHAnsi"/>
                <w:lang w:val="en-NZ"/>
              </w:rPr>
              <w:t xml:space="preserve">  </w:t>
            </w:r>
            <w:proofErr w:type="gramStart"/>
            <w:r w:rsidRPr="00026C1F">
              <w:rPr>
                <w:rFonts w:asciiTheme="minorHAnsi" w:hAnsiTheme="minorHAnsi" w:cstheme="minorHAnsi"/>
                <w:lang w:val="en-NZ"/>
              </w:rPr>
              <w:t>The</w:t>
            </w:r>
            <w:proofErr w:type="gramEnd"/>
            <w:r w:rsidRPr="00026C1F">
              <w:rPr>
                <w:rFonts w:asciiTheme="minorHAnsi" w:hAnsiTheme="minorHAnsi" w:cstheme="minorHAnsi"/>
                <w:lang w:val="en-NZ"/>
              </w:rPr>
              <w:t xml:space="preserve"> body corporate or committee has no knowledge of any part of the unit title development currently, or ever having had, weathertightness issues for which a claim has been made under the Weathertight Homes Resolution Services Act 2006.</w:t>
            </w:r>
          </w:p>
        </w:tc>
      </w:tr>
    </w:tbl>
    <w:p w14:paraId="50271536" w14:textId="5C75F2DE" w:rsidR="00D45B7C" w:rsidRPr="00026C1F" w:rsidRDefault="00D45B7C" w:rsidP="00D45B7C">
      <w:pPr>
        <w:pStyle w:val="BodyText"/>
        <w:spacing w:before="240"/>
        <w:ind w:left="720" w:right="19" w:hanging="720"/>
        <w:rPr>
          <w:rFonts w:asciiTheme="minorHAnsi" w:hAnsiTheme="minorHAnsi" w:cstheme="minorHAnsi"/>
          <w:i/>
          <w:iCs/>
          <w:sz w:val="18"/>
          <w:szCs w:val="18"/>
          <w:lang w:val="en-NZ"/>
        </w:rPr>
      </w:pPr>
      <w:r w:rsidRPr="00026C1F">
        <w:rPr>
          <w:rFonts w:asciiTheme="minorHAnsi" w:hAnsiTheme="minorHAnsi" w:cstheme="minorHAnsi"/>
          <w:lang w:val="en-NZ"/>
        </w:rPr>
        <w:t>11</w:t>
      </w:r>
      <w:r w:rsidRPr="00026C1F">
        <w:rPr>
          <w:rFonts w:asciiTheme="minorHAnsi" w:hAnsiTheme="minorHAnsi" w:cstheme="minorHAnsi"/>
          <w:lang w:val="en-NZ"/>
        </w:rPr>
        <w:tab/>
      </w:r>
      <w:r w:rsidRPr="00026C1F">
        <w:rPr>
          <w:rFonts w:asciiTheme="minorHAnsi" w:hAnsiTheme="minorHAnsi" w:cstheme="minorHAnsi"/>
          <w:i/>
          <w:iCs/>
          <w:sz w:val="18"/>
          <w:szCs w:val="18"/>
          <w:lang w:val="en-NZ"/>
        </w:rPr>
        <w:t>Select the statement that applies:</w:t>
      </w:r>
    </w:p>
    <w:tbl>
      <w:tblPr>
        <w:tblStyle w:val="TableGrid"/>
        <w:tblW w:w="0" w:type="auto"/>
        <w:tblInd w:w="720" w:type="dxa"/>
        <w:tblLook w:val="04A0" w:firstRow="1" w:lastRow="0" w:firstColumn="1" w:lastColumn="0" w:noHBand="0" w:noVBand="1"/>
      </w:tblPr>
      <w:tblGrid>
        <w:gridCol w:w="8918"/>
      </w:tblGrid>
      <w:tr w:rsidR="00FE7D90" w:rsidRPr="00026C1F" w14:paraId="69532BD5" w14:textId="77777777" w:rsidTr="00FE7D90">
        <w:tc>
          <w:tcPr>
            <w:tcW w:w="9628" w:type="dxa"/>
            <w:tcBorders>
              <w:top w:val="nil"/>
              <w:left w:val="nil"/>
              <w:bottom w:val="nil"/>
              <w:right w:val="nil"/>
            </w:tcBorders>
          </w:tcPr>
          <w:p w14:paraId="2F8DADD9" w14:textId="609465B2" w:rsidR="00FE7D90" w:rsidRPr="00026C1F" w:rsidRDefault="00FE7D90" w:rsidP="00FE7D90">
            <w:pPr>
              <w:pStyle w:val="BodyText"/>
              <w:spacing w:before="240"/>
              <w:ind w:left="397" w:right="17" w:hanging="397"/>
              <w:rPr>
                <w:rFonts w:asciiTheme="minorHAnsi" w:hAnsiTheme="minorHAnsi" w:cstheme="minorHAnsi"/>
                <w:lang w:val="en-NZ"/>
              </w:rPr>
            </w:pPr>
            <w:r w:rsidRPr="00026C1F">
              <w:rPr>
                <w:rFonts w:asciiTheme="minorHAnsi" w:hAnsiTheme="minorHAnsi" w:cstheme="minorHAnsi"/>
                <w:bdr w:val="single" w:sz="4" w:space="0" w:color="auto"/>
                <w:lang w:val="en-NZ"/>
              </w:rPr>
              <w:t xml:space="preserve">   </w:t>
            </w:r>
            <w:r w:rsidR="00FC0804">
              <w:rPr>
                <w:rFonts w:asciiTheme="minorHAnsi" w:hAnsiTheme="minorHAnsi" w:cstheme="minorHAnsi"/>
                <w:bdr w:val="single" w:sz="4" w:space="0" w:color="auto"/>
                <w:lang w:val="en-NZ"/>
              </w:rPr>
              <w:t>x</w:t>
            </w:r>
            <w:r w:rsidRPr="00026C1F">
              <w:rPr>
                <w:rFonts w:asciiTheme="minorHAnsi" w:hAnsiTheme="minorHAnsi" w:cstheme="minorHAnsi"/>
                <w:bdr w:val="single" w:sz="4" w:space="0" w:color="auto"/>
                <w:lang w:val="en-NZ"/>
              </w:rPr>
              <w:t xml:space="preserve">  </w:t>
            </w:r>
            <w:r w:rsidRPr="00026C1F">
              <w:rPr>
                <w:rFonts w:asciiTheme="minorHAnsi" w:hAnsiTheme="minorHAnsi" w:cstheme="minorHAnsi"/>
                <w:lang w:val="en-NZ"/>
              </w:rPr>
              <w:t xml:space="preserve">  </w:t>
            </w:r>
            <w:proofErr w:type="gramStart"/>
            <w:r w:rsidRPr="00026C1F">
              <w:rPr>
                <w:rFonts w:asciiTheme="minorHAnsi" w:hAnsiTheme="minorHAnsi" w:cstheme="minorHAnsi"/>
                <w:lang w:val="en-NZ"/>
              </w:rPr>
              <w:t>The</w:t>
            </w:r>
            <w:proofErr w:type="gramEnd"/>
            <w:r w:rsidRPr="00026C1F">
              <w:rPr>
                <w:rFonts w:asciiTheme="minorHAnsi" w:hAnsiTheme="minorHAnsi" w:cstheme="minorHAnsi"/>
                <w:lang w:val="en-NZ"/>
              </w:rPr>
              <w:t xml:space="preserve"> body corporate or committee has no knowledge of the unit title development having weathertightness issues that have been remediated without a claim under the Weathertight Homes Resolution Services Act 2006 or other proceedings.</w:t>
            </w:r>
          </w:p>
        </w:tc>
      </w:tr>
    </w:tbl>
    <w:p w14:paraId="28AD69DC" w14:textId="2CC2A177" w:rsidR="00840E64" w:rsidRPr="00026C1F" w:rsidRDefault="00840E64" w:rsidP="00840E64">
      <w:pPr>
        <w:pStyle w:val="BodyText"/>
        <w:spacing w:before="240"/>
        <w:ind w:left="720" w:right="19" w:hanging="720"/>
        <w:rPr>
          <w:rFonts w:asciiTheme="minorHAnsi" w:hAnsiTheme="minorHAnsi" w:cstheme="minorHAnsi"/>
          <w:i/>
          <w:iCs/>
          <w:sz w:val="18"/>
          <w:szCs w:val="18"/>
          <w:lang w:val="en-NZ"/>
        </w:rPr>
      </w:pPr>
      <w:r w:rsidRPr="00026C1F">
        <w:rPr>
          <w:rFonts w:asciiTheme="minorHAnsi" w:hAnsiTheme="minorHAnsi" w:cstheme="minorHAnsi"/>
          <w:lang w:val="en-NZ"/>
        </w:rPr>
        <w:t>12</w:t>
      </w:r>
      <w:r w:rsidRPr="00026C1F">
        <w:rPr>
          <w:rFonts w:asciiTheme="minorHAnsi" w:hAnsiTheme="minorHAnsi" w:cstheme="minorHAnsi"/>
          <w:lang w:val="en-NZ"/>
        </w:rPr>
        <w:tab/>
      </w:r>
      <w:r w:rsidRPr="00026C1F">
        <w:rPr>
          <w:rFonts w:asciiTheme="minorHAnsi" w:hAnsiTheme="minorHAnsi" w:cstheme="minorHAnsi"/>
          <w:i/>
          <w:iCs/>
          <w:sz w:val="18"/>
          <w:szCs w:val="18"/>
          <w:lang w:val="en-NZ"/>
        </w:rPr>
        <w:t>Select the statement that applies:</w:t>
      </w:r>
    </w:p>
    <w:tbl>
      <w:tblPr>
        <w:tblStyle w:val="TableGrid"/>
        <w:tblW w:w="0" w:type="auto"/>
        <w:tblInd w:w="720" w:type="dxa"/>
        <w:tblLook w:val="04A0" w:firstRow="1" w:lastRow="0" w:firstColumn="1" w:lastColumn="0" w:noHBand="0" w:noVBand="1"/>
      </w:tblPr>
      <w:tblGrid>
        <w:gridCol w:w="8918"/>
      </w:tblGrid>
      <w:tr w:rsidR="00FE7D90" w:rsidRPr="00026C1F" w14:paraId="3CF8B7BE" w14:textId="77777777" w:rsidTr="00FE7D90">
        <w:tc>
          <w:tcPr>
            <w:tcW w:w="9628" w:type="dxa"/>
            <w:tcBorders>
              <w:top w:val="nil"/>
              <w:left w:val="nil"/>
              <w:bottom w:val="nil"/>
              <w:right w:val="nil"/>
            </w:tcBorders>
          </w:tcPr>
          <w:p w14:paraId="47345048" w14:textId="756CBBD1" w:rsidR="00FE7D90" w:rsidRPr="00026C1F" w:rsidRDefault="00FC0804" w:rsidP="00FE7D90">
            <w:pPr>
              <w:pStyle w:val="BodyText"/>
              <w:spacing w:before="240"/>
              <w:ind w:left="397" w:right="17" w:hanging="397"/>
              <w:rPr>
                <w:rFonts w:asciiTheme="minorHAnsi" w:hAnsiTheme="minorHAnsi" w:cstheme="minorHAnsi"/>
                <w:lang w:val="en-NZ"/>
              </w:rPr>
            </w:pPr>
            <w:r>
              <w:rPr>
                <w:rFonts w:asciiTheme="minorHAnsi" w:hAnsiTheme="minorHAnsi" w:cstheme="minorHAnsi"/>
                <w:bdr w:val="single" w:sz="4" w:space="0" w:color="auto"/>
                <w:lang w:val="en-NZ"/>
              </w:rPr>
              <w:t>X</w:t>
            </w:r>
            <w:r w:rsidR="00FE7D90" w:rsidRPr="00026C1F">
              <w:rPr>
                <w:rFonts w:asciiTheme="minorHAnsi" w:hAnsiTheme="minorHAnsi" w:cstheme="minorHAnsi"/>
                <w:bdr w:val="single" w:sz="4" w:space="0" w:color="auto"/>
                <w:lang w:val="en-NZ"/>
              </w:rPr>
              <w:t xml:space="preserve">    </w:t>
            </w:r>
            <w:r w:rsidR="00FE7D90" w:rsidRPr="00026C1F">
              <w:rPr>
                <w:rFonts w:asciiTheme="minorHAnsi" w:hAnsiTheme="minorHAnsi" w:cstheme="minorHAnsi"/>
                <w:lang w:val="en-NZ"/>
              </w:rPr>
              <w:t xml:space="preserve">  The body corporate or committee has no knowledge of the unit title development having weathertightness issues that have not been remediated.</w:t>
            </w:r>
          </w:p>
        </w:tc>
      </w:tr>
    </w:tbl>
    <w:p w14:paraId="351F13D8" w14:textId="5993B467" w:rsidR="00840E64" w:rsidRPr="00026C1F" w:rsidRDefault="00840E64" w:rsidP="00840E64">
      <w:pPr>
        <w:pStyle w:val="BodyText"/>
        <w:spacing w:before="240"/>
        <w:ind w:left="720" w:right="19" w:hanging="720"/>
        <w:rPr>
          <w:rFonts w:asciiTheme="minorHAnsi" w:hAnsiTheme="minorHAnsi" w:cstheme="minorHAnsi"/>
          <w:i/>
          <w:iCs/>
          <w:sz w:val="18"/>
          <w:szCs w:val="18"/>
          <w:lang w:val="en-NZ"/>
        </w:rPr>
      </w:pPr>
      <w:r w:rsidRPr="00026C1F">
        <w:rPr>
          <w:rFonts w:asciiTheme="minorHAnsi" w:hAnsiTheme="minorHAnsi" w:cstheme="minorHAnsi"/>
          <w:lang w:val="en-NZ"/>
        </w:rPr>
        <w:t>13</w:t>
      </w:r>
      <w:r w:rsidRPr="00026C1F">
        <w:rPr>
          <w:rFonts w:asciiTheme="minorHAnsi" w:hAnsiTheme="minorHAnsi" w:cstheme="minorHAnsi"/>
          <w:lang w:val="en-NZ"/>
        </w:rPr>
        <w:tab/>
      </w:r>
      <w:r w:rsidRPr="00026C1F">
        <w:rPr>
          <w:rFonts w:asciiTheme="minorHAnsi" w:hAnsiTheme="minorHAnsi" w:cstheme="minorHAnsi"/>
          <w:i/>
          <w:iCs/>
          <w:sz w:val="18"/>
          <w:szCs w:val="18"/>
          <w:lang w:val="en-NZ"/>
        </w:rPr>
        <w:t>Select the statement that applies:</w:t>
      </w:r>
    </w:p>
    <w:tbl>
      <w:tblPr>
        <w:tblStyle w:val="TableGrid"/>
        <w:tblW w:w="0" w:type="auto"/>
        <w:tblInd w:w="720" w:type="dxa"/>
        <w:tblLook w:val="04A0" w:firstRow="1" w:lastRow="0" w:firstColumn="1" w:lastColumn="0" w:noHBand="0" w:noVBand="1"/>
      </w:tblPr>
      <w:tblGrid>
        <w:gridCol w:w="8918"/>
      </w:tblGrid>
      <w:tr w:rsidR="00FE7D90" w:rsidRPr="00026C1F" w14:paraId="408158CE" w14:textId="77777777" w:rsidTr="00FE7D90">
        <w:tc>
          <w:tcPr>
            <w:tcW w:w="9628" w:type="dxa"/>
            <w:tcBorders>
              <w:top w:val="nil"/>
              <w:left w:val="nil"/>
              <w:bottom w:val="nil"/>
              <w:right w:val="nil"/>
            </w:tcBorders>
          </w:tcPr>
          <w:p w14:paraId="4A1270E2" w14:textId="0CBC959E" w:rsidR="00FE7D90" w:rsidRPr="00026C1F" w:rsidRDefault="00FC0804" w:rsidP="00FE7D90">
            <w:pPr>
              <w:pStyle w:val="BodyText"/>
              <w:spacing w:before="240"/>
              <w:ind w:left="397" w:right="17" w:hanging="397"/>
              <w:rPr>
                <w:rFonts w:asciiTheme="minorHAnsi" w:hAnsiTheme="minorHAnsi" w:cstheme="minorHAnsi"/>
                <w:lang w:val="en-NZ"/>
              </w:rPr>
            </w:pPr>
            <w:r>
              <w:rPr>
                <w:rFonts w:asciiTheme="minorHAnsi" w:hAnsiTheme="minorHAnsi" w:cstheme="minorHAnsi"/>
                <w:bdr w:val="single" w:sz="4" w:space="0" w:color="auto"/>
                <w:lang w:val="en-NZ"/>
              </w:rPr>
              <w:t>x</w:t>
            </w:r>
            <w:r w:rsidR="00FE7D90" w:rsidRPr="00026C1F">
              <w:rPr>
                <w:rFonts w:asciiTheme="minorHAnsi" w:hAnsiTheme="minorHAnsi" w:cstheme="minorHAnsi"/>
                <w:bdr w:val="single" w:sz="4" w:space="0" w:color="auto"/>
                <w:lang w:val="en-NZ"/>
              </w:rPr>
              <w:t xml:space="preserve">    </w:t>
            </w:r>
            <w:r w:rsidR="00FE7D90" w:rsidRPr="00026C1F">
              <w:rPr>
                <w:rFonts w:asciiTheme="minorHAnsi" w:hAnsiTheme="minorHAnsi" w:cstheme="minorHAnsi"/>
                <w:lang w:val="en-NZ"/>
              </w:rPr>
              <w:t xml:space="preserve">  </w:t>
            </w:r>
            <w:proofErr w:type="gramStart"/>
            <w:r w:rsidR="00FE7D90" w:rsidRPr="00026C1F">
              <w:rPr>
                <w:rFonts w:asciiTheme="minorHAnsi" w:hAnsiTheme="minorHAnsi" w:cstheme="minorHAnsi"/>
                <w:lang w:val="en-NZ"/>
              </w:rPr>
              <w:t>The</w:t>
            </w:r>
            <w:proofErr w:type="gramEnd"/>
            <w:r w:rsidR="00FE7D90" w:rsidRPr="00026C1F">
              <w:rPr>
                <w:rFonts w:asciiTheme="minorHAnsi" w:hAnsiTheme="minorHAnsi" w:cstheme="minorHAnsi"/>
                <w:lang w:val="en-NZ"/>
              </w:rPr>
              <w:t xml:space="preserve"> body corporate or committee has no knowledge of the unit title development having earthquake-prone issues.</w:t>
            </w:r>
          </w:p>
        </w:tc>
      </w:tr>
    </w:tbl>
    <w:p w14:paraId="0647A5C9" w14:textId="1D10552C" w:rsidR="00840E64" w:rsidRPr="00026C1F" w:rsidRDefault="00840E64" w:rsidP="00FE7D90">
      <w:pPr>
        <w:pStyle w:val="BodyText"/>
        <w:spacing w:before="240"/>
        <w:ind w:left="720" w:right="19" w:hanging="720"/>
        <w:rPr>
          <w:rFonts w:asciiTheme="minorHAnsi" w:hAnsiTheme="minorHAnsi" w:cstheme="minorHAnsi"/>
          <w:i/>
          <w:iCs/>
          <w:sz w:val="18"/>
          <w:szCs w:val="18"/>
          <w:lang w:val="en-NZ"/>
        </w:rPr>
      </w:pPr>
      <w:r w:rsidRPr="00026C1F">
        <w:rPr>
          <w:rFonts w:asciiTheme="minorHAnsi" w:hAnsiTheme="minorHAnsi" w:cstheme="minorHAnsi"/>
          <w:lang w:val="en-NZ"/>
        </w:rPr>
        <w:t>14</w:t>
      </w:r>
      <w:r w:rsidRPr="00026C1F">
        <w:rPr>
          <w:rFonts w:asciiTheme="minorHAnsi" w:hAnsiTheme="minorHAnsi" w:cstheme="minorHAnsi"/>
          <w:lang w:val="en-NZ"/>
        </w:rPr>
        <w:tab/>
      </w:r>
      <w:r w:rsidRPr="00026C1F">
        <w:rPr>
          <w:rFonts w:asciiTheme="minorHAnsi" w:hAnsiTheme="minorHAnsi" w:cstheme="minorHAnsi"/>
          <w:i/>
          <w:iCs/>
          <w:sz w:val="18"/>
          <w:szCs w:val="18"/>
          <w:lang w:val="en-NZ"/>
        </w:rPr>
        <w:t>Select the statement that applies:</w:t>
      </w:r>
    </w:p>
    <w:tbl>
      <w:tblPr>
        <w:tblStyle w:val="TableGrid"/>
        <w:tblW w:w="0" w:type="auto"/>
        <w:tblInd w:w="720" w:type="dxa"/>
        <w:tblLook w:val="04A0" w:firstRow="1" w:lastRow="0" w:firstColumn="1" w:lastColumn="0" w:noHBand="0" w:noVBand="1"/>
      </w:tblPr>
      <w:tblGrid>
        <w:gridCol w:w="8918"/>
      </w:tblGrid>
      <w:tr w:rsidR="00FE7D90" w:rsidRPr="00026C1F" w14:paraId="28BA7EA5" w14:textId="77777777" w:rsidTr="00FE7D90">
        <w:tc>
          <w:tcPr>
            <w:tcW w:w="9628" w:type="dxa"/>
            <w:tcBorders>
              <w:top w:val="nil"/>
              <w:left w:val="nil"/>
              <w:bottom w:val="nil"/>
              <w:right w:val="nil"/>
            </w:tcBorders>
          </w:tcPr>
          <w:p w14:paraId="1BD07F90" w14:textId="39C47F41" w:rsidR="00FE7D90" w:rsidRPr="00026C1F" w:rsidRDefault="00FE7D90" w:rsidP="00FE7D90">
            <w:pPr>
              <w:pStyle w:val="BodyText"/>
              <w:spacing w:before="240"/>
              <w:ind w:left="397" w:right="17" w:hanging="397"/>
              <w:rPr>
                <w:rFonts w:asciiTheme="minorHAnsi" w:hAnsiTheme="minorHAnsi" w:cstheme="minorHAnsi"/>
                <w:lang w:val="en-NZ"/>
              </w:rPr>
            </w:pPr>
            <w:r w:rsidRPr="00026C1F">
              <w:rPr>
                <w:rFonts w:asciiTheme="minorHAnsi" w:hAnsiTheme="minorHAnsi" w:cstheme="minorHAnsi"/>
                <w:bdr w:val="single" w:sz="4" w:space="0" w:color="auto"/>
                <w:lang w:val="en-NZ"/>
              </w:rPr>
              <w:lastRenderedPageBreak/>
              <w:t xml:space="preserve">  </w:t>
            </w:r>
            <w:r w:rsidR="00FC0804">
              <w:rPr>
                <w:rFonts w:asciiTheme="minorHAnsi" w:hAnsiTheme="minorHAnsi" w:cstheme="minorHAnsi"/>
                <w:bdr w:val="single" w:sz="4" w:space="0" w:color="auto"/>
                <w:lang w:val="en-NZ"/>
              </w:rPr>
              <w:t>x</w:t>
            </w:r>
            <w:r w:rsidRPr="00026C1F">
              <w:rPr>
                <w:rFonts w:asciiTheme="minorHAnsi" w:hAnsiTheme="minorHAnsi" w:cstheme="minorHAnsi"/>
                <w:bdr w:val="single" w:sz="4" w:space="0" w:color="auto"/>
                <w:lang w:val="en-NZ"/>
              </w:rPr>
              <w:t xml:space="preserve">   </w:t>
            </w:r>
            <w:r w:rsidRPr="00026C1F">
              <w:rPr>
                <w:rFonts w:asciiTheme="minorHAnsi" w:hAnsiTheme="minorHAnsi" w:cstheme="minorHAnsi"/>
                <w:lang w:val="en-NZ"/>
              </w:rPr>
              <w:t xml:space="preserve">  </w:t>
            </w:r>
            <w:proofErr w:type="gramStart"/>
            <w:r w:rsidRPr="00026C1F">
              <w:rPr>
                <w:rFonts w:asciiTheme="minorHAnsi" w:hAnsiTheme="minorHAnsi" w:cstheme="minorHAnsi"/>
                <w:lang w:val="en-NZ"/>
              </w:rPr>
              <w:t>The</w:t>
            </w:r>
            <w:proofErr w:type="gramEnd"/>
            <w:r w:rsidRPr="00026C1F">
              <w:rPr>
                <w:rFonts w:asciiTheme="minorHAnsi" w:hAnsiTheme="minorHAnsi" w:cstheme="minorHAnsi"/>
                <w:lang w:val="en-NZ"/>
              </w:rPr>
              <w:t xml:space="preserve"> body corporate or committee has no knowledge of the unit title development having any other significant defects in the land (including the unit title development) that may require remediation.</w:t>
            </w:r>
          </w:p>
        </w:tc>
      </w:tr>
    </w:tbl>
    <w:p w14:paraId="461E70E7" w14:textId="7721374D" w:rsidR="00840E64" w:rsidRPr="00026C1F" w:rsidRDefault="00840E64" w:rsidP="00840E64">
      <w:pPr>
        <w:pStyle w:val="BodyText"/>
        <w:spacing w:before="240"/>
        <w:ind w:left="720" w:right="19" w:hanging="720"/>
        <w:rPr>
          <w:rFonts w:asciiTheme="minorHAnsi" w:hAnsiTheme="minorHAnsi" w:cstheme="minorHAnsi"/>
          <w:i/>
          <w:iCs/>
          <w:sz w:val="18"/>
          <w:szCs w:val="18"/>
          <w:lang w:val="en-NZ"/>
        </w:rPr>
      </w:pPr>
      <w:r w:rsidRPr="00026C1F">
        <w:rPr>
          <w:rFonts w:asciiTheme="minorHAnsi" w:hAnsiTheme="minorHAnsi" w:cstheme="minorHAnsi"/>
          <w:lang w:val="en-NZ"/>
        </w:rPr>
        <w:t>15</w:t>
      </w:r>
      <w:r w:rsidRPr="00026C1F">
        <w:rPr>
          <w:rFonts w:asciiTheme="minorHAnsi" w:hAnsiTheme="minorHAnsi" w:cstheme="minorHAnsi"/>
          <w:lang w:val="en-NZ"/>
        </w:rPr>
        <w:tab/>
      </w:r>
      <w:r w:rsidRPr="00026C1F">
        <w:rPr>
          <w:rFonts w:asciiTheme="minorHAnsi" w:hAnsiTheme="minorHAnsi" w:cstheme="minorHAnsi"/>
          <w:i/>
          <w:iCs/>
          <w:sz w:val="18"/>
          <w:szCs w:val="18"/>
          <w:lang w:val="en-NZ"/>
        </w:rPr>
        <w:t>Select the statement that applies:</w:t>
      </w:r>
    </w:p>
    <w:tbl>
      <w:tblPr>
        <w:tblStyle w:val="TableGrid"/>
        <w:tblW w:w="0" w:type="auto"/>
        <w:tblInd w:w="720" w:type="dxa"/>
        <w:tblLook w:val="04A0" w:firstRow="1" w:lastRow="0" w:firstColumn="1" w:lastColumn="0" w:noHBand="0" w:noVBand="1"/>
      </w:tblPr>
      <w:tblGrid>
        <w:gridCol w:w="8918"/>
      </w:tblGrid>
      <w:tr w:rsidR="00FE7D90" w:rsidRPr="00026C1F" w14:paraId="5F9C1FD3" w14:textId="77777777" w:rsidTr="00FE7D90">
        <w:tc>
          <w:tcPr>
            <w:tcW w:w="9628" w:type="dxa"/>
            <w:tcBorders>
              <w:top w:val="nil"/>
              <w:left w:val="nil"/>
              <w:bottom w:val="nil"/>
              <w:right w:val="nil"/>
            </w:tcBorders>
          </w:tcPr>
          <w:p w14:paraId="25E865F5" w14:textId="4252A493" w:rsidR="00FE7D90" w:rsidRPr="00026C1F" w:rsidRDefault="00FE7D90" w:rsidP="00FE7D90">
            <w:pPr>
              <w:pStyle w:val="BodyText"/>
              <w:spacing w:before="240"/>
              <w:ind w:left="397" w:right="17" w:hanging="397"/>
              <w:rPr>
                <w:rFonts w:asciiTheme="minorHAnsi" w:hAnsiTheme="minorHAnsi" w:cstheme="minorHAnsi"/>
                <w:lang w:val="en-NZ"/>
              </w:rPr>
            </w:pPr>
            <w:r w:rsidRPr="00026C1F">
              <w:rPr>
                <w:rFonts w:asciiTheme="minorHAnsi" w:hAnsiTheme="minorHAnsi" w:cstheme="minorHAnsi"/>
                <w:bdr w:val="single" w:sz="4" w:space="0" w:color="auto"/>
                <w:lang w:val="en-NZ"/>
              </w:rPr>
              <w:t xml:space="preserve">  </w:t>
            </w:r>
            <w:r w:rsidR="00FC0804">
              <w:rPr>
                <w:rFonts w:asciiTheme="minorHAnsi" w:hAnsiTheme="minorHAnsi" w:cstheme="minorHAnsi"/>
                <w:bdr w:val="single" w:sz="4" w:space="0" w:color="auto"/>
                <w:lang w:val="en-NZ"/>
              </w:rPr>
              <w:t>x</w:t>
            </w:r>
            <w:r w:rsidRPr="00026C1F">
              <w:rPr>
                <w:rFonts w:asciiTheme="minorHAnsi" w:hAnsiTheme="minorHAnsi" w:cstheme="minorHAnsi"/>
                <w:bdr w:val="single" w:sz="4" w:space="0" w:color="auto"/>
                <w:lang w:val="en-NZ"/>
              </w:rPr>
              <w:t xml:space="preserve">   </w:t>
            </w:r>
            <w:r w:rsidRPr="00026C1F">
              <w:rPr>
                <w:rFonts w:asciiTheme="minorHAnsi" w:hAnsiTheme="minorHAnsi" w:cstheme="minorHAnsi"/>
                <w:lang w:val="en-NZ"/>
              </w:rPr>
              <w:t xml:space="preserve">  No remediation report/s commissioned by the body corporate in the last three years are attached, because </w:t>
            </w:r>
            <w:r w:rsidRPr="00026C1F">
              <w:rPr>
                <w:rFonts w:asciiTheme="minorHAnsi" w:hAnsiTheme="minorHAnsi" w:cstheme="minorHAnsi"/>
                <w:i/>
                <w:iCs/>
                <w:sz w:val="18"/>
                <w:szCs w:val="18"/>
                <w:lang w:val="en-NZ"/>
              </w:rPr>
              <w:t>(select one)</w:t>
            </w:r>
            <w:r w:rsidRPr="00026C1F">
              <w:rPr>
                <w:rFonts w:asciiTheme="minorHAnsi" w:hAnsiTheme="minorHAnsi" w:cstheme="minorHAnsi"/>
                <w:lang w:val="en-NZ"/>
              </w:rPr>
              <w:t xml:space="preserve"> </w:t>
            </w:r>
            <w:r w:rsidRPr="00026C1F">
              <w:rPr>
                <w:rFonts w:asciiTheme="minorHAnsi" w:hAnsiTheme="minorHAnsi" w:cstheme="minorHAnsi"/>
                <w:b/>
                <w:bCs/>
                <w:lang w:val="en-NZ"/>
              </w:rPr>
              <w:t>no such reports have been commissioned</w:t>
            </w:r>
            <w:r w:rsidRPr="00026C1F">
              <w:rPr>
                <w:rFonts w:asciiTheme="minorHAnsi" w:hAnsiTheme="minorHAnsi" w:cstheme="minorHAnsi"/>
                <w:lang w:val="en-NZ"/>
              </w:rPr>
              <w:t xml:space="preserve"> / </w:t>
            </w:r>
            <w:r w:rsidRPr="00026C1F">
              <w:rPr>
                <w:rFonts w:asciiTheme="minorHAnsi" w:hAnsiTheme="minorHAnsi" w:cstheme="minorHAnsi"/>
                <w:b/>
                <w:bCs/>
                <w:lang w:val="en-NZ"/>
              </w:rPr>
              <w:t>they cannot be found</w:t>
            </w:r>
            <w:r w:rsidRPr="00026C1F">
              <w:rPr>
                <w:rFonts w:asciiTheme="minorHAnsi" w:hAnsiTheme="minorHAnsi" w:cstheme="minorHAnsi"/>
                <w:lang w:val="en-NZ"/>
              </w:rPr>
              <w:t>.</w:t>
            </w:r>
          </w:p>
        </w:tc>
      </w:tr>
    </w:tbl>
    <w:p w14:paraId="624248B2" w14:textId="222F6089" w:rsidR="00D45B7C" w:rsidRPr="00026C1F" w:rsidRDefault="00840E64" w:rsidP="00D45B7C">
      <w:pPr>
        <w:pStyle w:val="BodyText"/>
        <w:spacing w:before="240"/>
        <w:ind w:left="720" w:right="19" w:hanging="720"/>
        <w:rPr>
          <w:rFonts w:asciiTheme="minorHAnsi" w:hAnsiTheme="minorHAnsi" w:cstheme="minorHAnsi"/>
          <w:sz w:val="28"/>
          <w:szCs w:val="28"/>
          <w:lang w:val="en-NZ"/>
        </w:rPr>
      </w:pPr>
      <w:r w:rsidRPr="00026C1F">
        <w:rPr>
          <w:rFonts w:asciiTheme="minorHAnsi" w:hAnsiTheme="minorHAnsi" w:cstheme="minorHAnsi"/>
          <w:sz w:val="28"/>
          <w:szCs w:val="28"/>
          <w:lang w:val="en-NZ"/>
        </w:rPr>
        <w:t>Governance information</w:t>
      </w:r>
    </w:p>
    <w:p w14:paraId="0E97383F" w14:textId="46AE85CE" w:rsidR="00840E64" w:rsidRPr="00026C1F" w:rsidRDefault="00D32BAE" w:rsidP="00D32BAE">
      <w:pPr>
        <w:pStyle w:val="BodyText"/>
        <w:spacing w:before="240"/>
        <w:ind w:left="720" w:right="17" w:hanging="720"/>
        <w:rPr>
          <w:rFonts w:asciiTheme="minorHAnsi" w:hAnsiTheme="minorHAnsi" w:cstheme="minorHAnsi"/>
          <w:lang w:val="en-NZ"/>
        </w:rPr>
      </w:pPr>
      <w:r>
        <w:rPr>
          <w:rFonts w:asciiTheme="minorHAnsi" w:hAnsiTheme="minorHAnsi" w:cstheme="minorHAnsi"/>
          <w:lang w:val="en-NZ"/>
        </w:rPr>
        <w:t>16</w:t>
      </w:r>
      <w:r>
        <w:rPr>
          <w:rFonts w:asciiTheme="minorHAnsi" w:hAnsiTheme="minorHAnsi" w:cstheme="minorHAnsi"/>
          <w:lang w:val="en-NZ"/>
        </w:rPr>
        <w:tab/>
      </w:r>
      <w:r w:rsidR="00840E64" w:rsidRPr="00026C1F">
        <w:rPr>
          <w:rFonts w:asciiTheme="minorHAnsi" w:hAnsiTheme="minorHAnsi" w:cstheme="minorHAnsi"/>
          <w:lang w:val="en-NZ"/>
        </w:rPr>
        <w:t>The notices and minutes of body corporate general meetings and body corporate committee meetings for the last three years.</w:t>
      </w:r>
    </w:p>
    <w:tbl>
      <w:tblPr>
        <w:tblStyle w:val="TableGrid"/>
        <w:tblW w:w="0" w:type="auto"/>
        <w:tblInd w:w="72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533"/>
        <w:gridCol w:w="5385"/>
      </w:tblGrid>
      <w:tr w:rsidR="00840E64" w:rsidRPr="00026C1F" w14:paraId="47483B77" w14:textId="77777777" w:rsidTr="008565D9">
        <w:tc>
          <w:tcPr>
            <w:tcW w:w="3533" w:type="dxa"/>
          </w:tcPr>
          <w:p w14:paraId="6E1EAD88" w14:textId="711F64FA" w:rsidR="00026C1F" w:rsidRPr="00026C1F" w:rsidRDefault="00026C1F" w:rsidP="00026C1F">
            <w:pPr>
              <w:pStyle w:val="BodyText"/>
              <w:spacing w:before="240" w:after="240"/>
              <w:ind w:right="17"/>
              <w:rPr>
                <w:rFonts w:asciiTheme="minorHAnsi" w:hAnsiTheme="minorHAnsi" w:cstheme="minorHAnsi"/>
                <w:lang w:val="en-NZ"/>
              </w:rPr>
            </w:pPr>
            <w:r w:rsidRPr="00026C1F">
              <w:rPr>
                <w:rFonts w:asciiTheme="minorHAnsi" w:hAnsiTheme="minorHAnsi" w:cstheme="minorHAnsi"/>
                <w:lang w:val="en-NZ"/>
              </w:rPr>
              <w:t xml:space="preserve">Year ended </w:t>
            </w:r>
            <w:r w:rsidR="00FC0804">
              <w:rPr>
                <w:rFonts w:asciiTheme="minorHAnsi" w:hAnsiTheme="minorHAnsi" w:cstheme="minorHAnsi"/>
                <w:lang w:val="en-NZ"/>
              </w:rPr>
              <w:t>2021-2023</w:t>
            </w:r>
            <w:r w:rsidRPr="00026C1F">
              <w:rPr>
                <w:rFonts w:asciiTheme="minorHAnsi" w:hAnsiTheme="minorHAnsi" w:cstheme="minorHAnsi"/>
                <w:lang w:val="en-NZ"/>
              </w:rPr>
              <w:t xml:space="preserve"> </w:t>
            </w:r>
          </w:p>
          <w:p w14:paraId="789D551E" w14:textId="29F43152" w:rsidR="00840E64" w:rsidRPr="00026C1F" w:rsidRDefault="00026C1F" w:rsidP="00026C1F">
            <w:pPr>
              <w:pStyle w:val="BodyText"/>
              <w:spacing w:before="240" w:after="240"/>
              <w:ind w:right="17"/>
              <w:rPr>
                <w:rFonts w:asciiTheme="minorHAnsi" w:hAnsiTheme="minorHAnsi" w:cstheme="minorHAnsi"/>
                <w:i/>
                <w:iCs/>
                <w:lang w:val="en-NZ"/>
              </w:rPr>
            </w:pPr>
            <w:r w:rsidRPr="00026C1F">
              <w:rPr>
                <w:rFonts w:asciiTheme="minorHAnsi" w:hAnsiTheme="minorHAnsi" w:cstheme="minorHAnsi"/>
                <w:i/>
                <w:iCs/>
                <w:sz w:val="18"/>
                <w:szCs w:val="18"/>
                <w:lang w:val="en-NZ"/>
              </w:rPr>
              <w:t>The immediate past financial year.</w:t>
            </w:r>
          </w:p>
        </w:tc>
        <w:tc>
          <w:tcPr>
            <w:tcW w:w="5385" w:type="dxa"/>
          </w:tcPr>
          <w:p w14:paraId="07BAADD0" w14:textId="5A9B0310" w:rsidR="008565D9" w:rsidRPr="00026C1F" w:rsidRDefault="008565D9" w:rsidP="004F5748">
            <w:pPr>
              <w:pStyle w:val="BodyText"/>
              <w:spacing w:before="240" w:after="240"/>
              <w:ind w:right="17"/>
              <w:rPr>
                <w:rFonts w:asciiTheme="minorHAnsi" w:hAnsiTheme="minorHAnsi" w:cstheme="minorHAnsi"/>
                <w:lang w:val="en-NZ"/>
              </w:rPr>
            </w:pPr>
            <w:r w:rsidRPr="00026C1F">
              <w:rPr>
                <w:rFonts w:asciiTheme="minorHAnsi" w:hAnsiTheme="minorHAnsi" w:cstheme="minorHAnsi"/>
                <w:lang w:val="en-NZ"/>
              </w:rPr>
              <w:t xml:space="preserve">The body corporate and committee meeting notices, minutes and supporting documentation </w:t>
            </w:r>
            <w:r w:rsidRPr="00026C1F">
              <w:rPr>
                <w:rFonts w:asciiTheme="minorHAnsi" w:hAnsiTheme="minorHAnsi" w:cstheme="minorHAnsi"/>
                <w:i/>
                <w:iCs/>
                <w:sz w:val="18"/>
                <w:szCs w:val="18"/>
                <w:lang w:val="en-NZ"/>
              </w:rPr>
              <w:t>(select one)</w:t>
            </w:r>
          </w:p>
          <w:p w14:paraId="307D057C" w14:textId="1540D766" w:rsidR="00840E64" w:rsidRPr="00FC0804" w:rsidRDefault="00840E64" w:rsidP="00FC0804">
            <w:pPr>
              <w:pStyle w:val="BodyText"/>
              <w:spacing w:before="240" w:after="240"/>
              <w:ind w:right="17"/>
              <w:rPr>
                <w:rFonts w:asciiTheme="minorHAnsi" w:hAnsiTheme="minorHAnsi" w:cstheme="minorHAnsi"/>
                <w:lang w:val="en-NZ"/>
              </w:rPr>
            </w:pPr>
            <w:r w:rsidRPr="00026C1F">
              <w:rPr>
                <w:rFonts w:asciiTheme="minorHAnsi" w:hAnsiTheme="minorHAnsi" w:cstheme="minorHAnsi"/>
                <w:bdr w:val="single" w:sz="4" w:space="0" w:color="auto"/>
                <w:lang w:val="en-NZ"/>
              </w:rPr>
              <w:t xml:space="preserve">  </w:t>
            </w:r>
            <w:r w:rsidR="00FC0804">
              <w:rPr>
                <w:rFonts w:asciiTheme="minorHAnsi" w:hAnsiTheme="minorHAnsi" w:cstheme="minorHAnsi"/>
                <w:bdr w:val="single" w:sz="4" w:space="0" w:color="auto"/>
                <w:lang w:val="en-NZ"/>
              </w:rPr>
              <w:t>x</w:t>
            </w:r>
            <w:r w:rsidRPr="00026C1F">
              <w:rPr>
                <w:rFonts w:asciiTheme="minorHAnsi" w:hAnsiTheme="minorHAnsi" w:cstheme="minorHAnsi"/>
                <w:bdr w:val="single" w:sz="4" w:space="0" w:color="auto"/>
                <w:lang w:val="en-NZ"/>
              </w:rPr>
              <w:t xml:space="preserve">   </w:t>
            </w:r>
            <w:r w:rsidRPr="00026C1F">
              <w:rPr>
                <w:rFonts w:asciiTheme="minorHAnsi" w:hAnsiTheme="minorHAnsi" w:cstheme="minorHAnsi"/>
                <w:lang w:val="en-NZ"/>
              </w:rPr>
              <w:t xml:space="preserve">  </w:t>
            </w:r>
            <w:proofErr w:type="gramStart"/>
            <w:r w:rsidR="008565D9" w:rsidRPr="00026C1F">
              <w:rPr>
                <w:rFonts w:asciiTheme="minorHAnsi" w:hAnsiTheme="minorHAnsi" w:cstheme="minorHAnsi"/>
                <w:lang w:val="en-NZ"/>
              </w:rPr>
              <w:t>are</w:t>
            </w:r>
            <w:proofErr w:type="gramEnd"/>
            <w:r w:rsidR="008565D9" w:rsidRPr="00026C1F">
              <w:rPr>
                <w:rFonts w:asciiTheme="minorHAnsi" w:hAnsiTheme="minorHAnsi" w:cstheme="minorHAnsi"/>
                <w:lang w:val="en-NZ"/>
              </w:rPr>
              <w:t xml:space="preserve"> attached</w:t>
            </w:r>
          </w:p>
        </w:tc>
      </w:tr>
      <w:tr w:rsidR="00FC0804" w:rsidRPr="00026C1F" w14:paraId="3163E571" w14:textId="77777777" w:rsidTr="00E53492">
        <w:tc>
          <w:tcPr>
            <w:tcW w:w="8918" w:type="dxa"/>
            <w:gridSpan w:val="2"/>
          </w:tcPr>
          <w:p w14:paraId="0A8A4957" w14:textId="77777777" w:rsidR="00FC0804" w:rsidRDefault="00FC0804" w:rsidP="00FC0804">
            <w:pPr>
              <w:pStyle w:val="BodyText"/>
              <w:spacing w:before="240" w:after="240"/>
              <w:ind w:left="720" w:right="19" w:hanging="720"/>
              <w:rPr>
                <w:rFonts w:asciiTheme="minorHAnsi" w:hAnsiTheme="minorHAnsi" w:cstheme="minorHAnsi"/>
                <w:lang w:val="en-NZ"/>
              </w:rPr>
            </w:pPr>
            <w:r w:rsidRPr="00B56379">
              <w:rPr>
                <w:rFonts w:asciiTheme="minorHAnsi" w:hAnsiTheme="minorHAnsi" w:cstheme="minorHAnsi"/>
                <w:lang w:val="en-NZ"/>
              </w:rPr>
              <w:t>2021-Minutes-AGM-Pinnacle-BC-548838---19-Oct-2021-_signed_</w:t>
            </w:r>
          </w:p>
          <w:p w14:paraId="762C3A36" w14:textId="77777777" w:rsidR="00FC0804" w:rsidRDefault="00FC0804" w:rsidP="00FC0804">
            <w:pPr>
              <w:pStyle w:val="BodyText"/>
              <w:spacing w:before="240" w:after="240"/>
              <w:ind w:left="720" w:right="19" w:hanging="720"/>
              <w:rPr>
                <w:rFonts w:asciiTheme="minorHAnsi" w:hAnsiTheme="minorHAnsi" w:cstheme="minorHAnsi"/>
                <w:lang w:val="en-NZ"/>
              </w:rPr>
            </w:pPr>
            <w:r w:rsidRPr="00B56379">
              <w:rPr>
                <w:rFonts w:asciiTheme="minorHAnsi" w:hAnsiTheme="minorHAnsi" w:cstheme="minorHAnsi"/>
                <w:lang w:val="en-NZ"/>
              </w:rPr>
              <w:t>2022-Minutes-AGM-Pinnacle-BC-548838---5-Sept-2022-</w:t>
            </w:r>
          </w:p>
          <w:p w14:paraId="19C21EE2" w14:textId="77777777" w:rsidR="00FC0804" w:rsidRDefault="00FC0804" w:rsidP="00FC0804">
            <w:pPr>
              <w:pStyle w:val="BodyText"/>
              <w:spacing w:before="240" w:after="240"/>
              <w:ind w:left="720" w:right="19" w:hanging="720"/>
              <w:rPr>
                <w:rFonts w:asciiTheme="minorHAnsi" w:hAnsiTheme="minorHAnsi" w:cstheme="minorHAnsi"/>
                <w:lang w:val="en-NZ"/>
              </w:rPr>
            </w:pPr>
            <w:r w:rsidRPr="00B56379">
              <w:rPr>
                <w:rFonts w:asciiTheme="minorHAnsi" w:hAnsiTheme="minorHAnsi" w:cstheme="minorHAnsi"/>
                <w:lang w:val="en-NZ"/>
              </w:rPr>
              <w:t>2023-Minutes-AGM-Pinnacle-BC-548838---21-Sept-2023</w:t>
            </w:r>
          </w:p>
          <w:p w14:paraId="0255D1F2" w14:textId="51AFE897" w:rsidR="00FC0804" w:rsidRPr="00026C1F" w:rsidRDefault="00FC0804" w:rsidP="00FC0804">
            <w:pPr>
              <w:pStyle w:val="BodyText"/>
              <w:spacing w:before="240" w:after="240"/>
              <w:ind w:left="720" w:right="19" w:hanging="720"/>
              <w:rPr>
                <w:rFonts w:asciiTheme="minorHAnsi" w:hAnsiTheme="minorHAnsi" w:cstheme="minorHAnsi"/>
                <w:bdr w:val="single" w:sz="4" w:space="0" w:color="auto"/>
                <w:lang w:val="en-NZ"/>
              </w:rPr>
            </w:pPr>
            <w:r>
              <w:rPr>
                <w:rFonts w:asciiTheme="minorHAnsi" w:hAnsiTheme="minorHAnsi" w:cstheme="minorHAnsi"/>
                <w:lang w:val="en-NZ"/>
              </w:rPr>
              <w:t>2024 AGM due in Sep/oct</w:t>
            </w:r>
          </w:p>
        </w:tc>
      </w:tr>
    </w:tbl>
    <w:p w14:paraId="670C1D89" w14:textId="3C2BD179" w:rsidR="00026C1F" w:rsidRPr="00026C1F" w:rsidRDefault="00026C1F" w:rsidP="00026C1F">
      <w:pPr>
        <w:pStyle w:val="BodyText"/>
        <w:spacing w:before="240"/>
        <w:ind w:left="720" w:right="19" w:hanging="720"/>
        <w:rPr>
          <w:rFonts w:asciiTheme="minorHAnsi" w:hAnsiTheme="minorHAnsi" w:cstheme="minorHAnsi"/>
          <w:i/>
          <w:iCs/>
          <w:sz w:val="18"/>
          <w:szCs w:val="18"/>
          <w:lang w:val="en-NZ"/>
        </w:rPr>
      </w:pPr>
      <w:r w:rsidRPr="00026C1F">
        <w:rPr>
          <w:rFonts w:asciiTheme="minorHAnsi" w:hAnsiTheme="minorHAnsi" w:cstheme="minorHAnsi"/>
          <w:lang w:val="en-NZ"/>
        </w:rPr>
        <w:t>17</w:t>
      </w:r>
      <w:r w:rsidRPr="00026C1F">
        <w:rPr>
          <w:rFonts w:asciiTheme="minorHAnsi" w:hAnsiTheme="minorHAnsi" w:cstheme="minorHAnsi"/>
          <w:lang w:val="en-NZ"/>
        </w:rPr>
        <w:tab/>
      </w:r>
      <w:r w:rsidRPr="00026C1F">
        <w:rPr>
          <w:rFonts w:asciiTheme="minorHAnsi" w:hAnsiTheme="minorHAnsi" w:cstheme="minorHAnsi"/>
          <w:i/>
          <w:iCs/>
          <w:sz w:val="18"/>
          <w:szCs w:val="18"/>
          <w:lang w:val="en-NZ"/>
        </w:rPr>
        <w:t>Select the statement that applies:</w:t>
      </w:r>
    </w:p>
    <w:tbl>
      <w:tblPr>
        <w:tblStyle w:val="TableGrid"/>
        <w:tblW w:w="0" w:type="auto"/>
        <w:tblInd w:w="720" w:type="dxa"/>
        <w:tblLook w:val="04A0" w:firstRow="1" w:lastRow="0" w:firstColumn="1" w:lastColumn="0" w:noHBand="0" w:noVBand="1"/>
      </w:tblPr>
      <w:tblGrid>
        <w:gridCol w:w="8918"/>
      </w:tblGrid>
      <w:tr w:rsidR="00026C1F" w:rsidRPr="00026C1F" w14:paraId="766B1D08" w14:textId="77777777" w:rsidTr="00130669">
        <w:tc>
          <w:tcPr>
            <w:tcW w:w="9628" w:type="dxa"/>
            <w:tcBorders>
              <w:top w:val="nil"/>
              <w:left w:val="nil"/>
              <w:bottom w:val="nil"/>
              <w:right w:val="nil"/>
            </w:tcBorders>
          </w:tcPr>
          <w:p w14:paraId="60F26D19" w14:textId="109485EC" w:rsidR="00FC0804" w:rsidRPr="00FC0804" w:rsidRDefault="00026C1F" w:rsidP="00FC0804">
            <w:pPr>
              <w:pStyle w:val="BodyText"/>
              <w:spacing w:before="240"/>
              <w:ind w:left="397" w:right="17" w:hanging="397"/>
              <w:rPr>
                <w:rFonts w:cstheme="minorHAnsi"/>
              </w:rPr>
            </w:pPr>
            <w:r w:rsidRPr="00026C1F">
              <w:rPr>
                <w:rFonts w:asciiTheme="minorHAnsi" w:hAnsiTheme="minorHAnsi" w:cstheme="minorHAnsi"/>
                <w:bdr w:val="single" w:sz="4" w:space="0" w:color="auto"/>
                <w:lang w:val="en-NZ"/>
              </w:rPr>
              <w:t xml:space="preserve">   </w:t>
            </w:r>
            <w:r w:rsidR="00FE5A2E">
              <w:rPr>
                <w:rFonts w:asciiTheme="minorHAnsi" w:hAnsiTheme="minorHAnsi" w:cstheme="minorHAnsi"/>
                <w:bdr w:val="single" w:sz="4" w:space="0" w:color="auto"/>
                <w:lang w:val="en-NZ"/>
              </w:rPr>
              <w:t>x</w:t>
            </w:r>
            <w:r w:rsidRPr="00026C1F">
              <w:rPr>
                <w:rFonts w:asciiTheme="minorHAnsi" w:hAnsiTheme="minorHAnsi" w:cstheme="minorHAnsi"/>
                <w:bdr w:val="single" w:sz="4" w:space="0" w:color="auto"/>
                <w:lang w:val="en-NZ"/>
              </w:rPr>
              <w:t xml:space="preserve">  </w:t>
            </w:r>
            <w:r w:rsidRPr="00026C1F">
              <w:rPr>
                <w:rFonts w:asciiTheme="minorHAnsi" w:hAnsiTheme="minorHAnsi" w:cstheme="minorHAnsi"/>
                <w:lang w:val="en-NZ"/>
              </w:rPr>
              <w:t xml:space="preserve">  The body corporate manager(s) is/are </w:t>
            </w:r>
            <w:r w:rsidR="00FC0804">
              <w:rPr>
                <w:rFonts w:asciiTheme="minorHAnsi" w:hAnsiTheme="minorHAnsi" w:cstheme="minorHAnsi"/>
                <w:lang w:val="en-NZ"/>
              </w:rPr>
              <w:t xml:space="preserve">Matt Monroe, BC Chair and </w:t>
            </w:r>
            <w:r w:rsidR="00FC0804" w:rsidRPr="00FC0804">
              <w:rPr>
                <w:rFonts w:cstheme="minorHAnsi"/>
                <w:b/>
                <w:bCs/>
              </w:rPr>
              <w:t>Tracey Cole  Senior Body Corporate Manager Wellington</w:t>
            </w:r>
            <w:r w:rsidRPr="00026C1F">
              <w:rPr>
                <w:rFonts w:asciiTheme="minorHAnsi" w:hAnsiTheme="minorHAnsi" w:cstheme="minorHAnsi"/>
                <w:lang w:val="en-NZ"/>
              </w:rPr>
              <w:t xml:space="preserve"> and their contact details are </w:t>
            </w:r>
          </w:p>
          <w:p w14:paraId="4F503837" w14:textId="77777777" w:rsidR="00FC0804" w:rsidRPr="00FC0804" w:rsidRDefault="00FC0804" w:rsidP="00FC0804">
            <w:pPr>
              <w:pStyle w:val="BodyText"/>
              <w:spacing w:before="240"/>
              <w:ind w:left="397" w:right="17" w:hanging="397"/>
              <w:rPr>
                <w:rFonts w:cstheme="minorHAnsi"/>
              </w:rPr>
            </w:pPr>
            <w:r w:rsidRPr="00FC0804">
              <w:rPr>
                <w:rFonts w:cstheme="minorHAnsi"/>
                <w:b/>
                <w:bCs/>
              </w:rPr>
              <w:t>Strata Title Administration Ltd</w:t>
            </w:r>
          </w:p>
          <w:p w14:paraId="5AD5B9FC" w14:textId="7D6F9D58" w:rsidR="00FC0804" w:rsidRPr="00FC0804" w:rsidRDefault="00FC0804" w:rsidP="00FC0804">
            <w:pPr>
              <w:pStyle w:val="BodyText"/>
              <w:spacing w:before="240"/>
              <w:ind w:left="397" w:right="17" w:hanging="397"/>
              <w:rPr>
                <w:rFonts w:cstheme="minorHAnsi"/>
              </w:rPr>
            </w:pPr>
            <w:r w:rsidRPr="00FC0804">
              <w:rPr>
                <w:rFonts w:cstheme="minorHAnsi"/>
              </w:rPr>
              <w:t> M: 027 808 5801 | P: (09) 307 3721 | FP: 0800 7STRATA</w:t>
            </w:r>
          </w:p>
          <w:p w14:paraId="544CE63E" w14:textId="77777777" w:rsidR="00FC0804" w:rsidRPr="00FC0804" w:rsidRDefault="00FC0804" w:rsidP="00FC0804">
            <w:pPr>
              <w:pStyle w:val="BodyText"/>
              <w:spacing w:before="240"/>
              <w:ind w:left="397" w:right="17" w:hanging="397"/>
              <w:rPr>
                <w:rFonts w:cstheme="minorHAnsi"/>
              </w:rPr>
            </w:pPr>
            <w:r w:rsidRPr="00FC0804">
              <w:rPr>
                <w:rFonts w:cstheme="minorHAnsi"/>
              </w:rPr>
              <w:t xml:space="preserve">The </w:t>
            </w:r>
            <w:proofErr w:type="spellStart"/>
            <w:r w:rsidRPr="00FC0804">
              <w:rPr>
                <w:rFonts w:cstheme="minorHAnsi"/>
              </w:rPr>
              <w:t>iCentre</w:t>
            </w:r>
            <w:proofErr w:type="spellEnd"/>
            <w:r w:rsidRPr="00FC0804">
              <w:rPr>
                <w:rFonts w:cstheme="minorHAnsi"/>
              </w:rPr>
              <w:t>, Level 1, 50 Manners Street, Wellington, 6011</w:t>
            </w:r>
          </w:p>
          <w:p w14:paraId="690EC366" w14:textId="3DF43F51" w:rsidR="00026C1F" w:rsidRPr="00026C1F" w:rsidRDefault="00026C1F" w:rsidP="00FC0804">
            <w:pPr>
              <w:pStyle w:val="BodyText"/>
              <w:spacing w:before="240"/>
              <w:ind w:right="17"/>
              <w:rPr>
                <w:rFonts w:asciiTheme="minorHAnsi" w:hAnsiTheme="minorHAnsi" w:cstheme="minorHAnsi"/>
                <w:lang w:val="en-NZ"/>
              </w:rPr>
            </w:pPr>
          </w:p>
        </w:tc>
      </w:tr>
    </w:tbl>
    <w:p w14:paraId="5F4A2BDD" w14:textId="7D49549F" w:rsidR="00840E64" w:rsidRDefault="00026C1F" w:rsidP="00026C1F">
      <w:pPr>
        <w:pStyle w:val="BodyText"/>
        <w:spacing w:before="240"/>
        <w:ind w:right="17"/>
        <w:rPr>
          <w:rFonts w:asciiTheme="minorHAnsi" w:hAnsiTheme="minorHAnsi" w:cstheme="minorHAnsi"/>
          <w:lang w:val="en-NZ"/>
        </w:rPr>
      </w:pPr>
      <w:r>
        <w:rPr>
          <w:rFonts w:asciiTheme="minorHAnsi" w:hAnsiTheme="minorHAnsi" w:cstheme="minorHAnsi"/>
          <w:lang w:val="en-NZ"/>
        </w:rPr>
        <w:t>18</w:t>
      </w:r>
      <w:r>
        <w:rPr>
          <w:rFonts w:asciiTheme="minorHAnsi" w:hAnsiTheme="minorHAnsi" w:cstheme="minorHAnsi"/>
          <w:lang w:val="en-NZ"/>
        </w:rPr>
        <w:tab/>
        <w:t xml:space="preserve">The body </w:t>
      </w:r>
      <w:r w:rsidRPr="00026C1F">
        <w:rPr>
          <w:rFonts w:asciiTheme="minorHAnsi" w:hAnsiTheme="minorHAnsi" w:cstheme="minorHAnsi"/>
          <w:lang w:val="en-NZ"/>
        </w:rPr>
        <w:t>corporate holds the following insurance cover for the unit title development:</w:t>
      </w:r>
    </w:p>
    <w:p w14:paraId="0BC4BC41" w14:textId="7407953A" w:rsidR="00D045B1" w:rsidRDefault="00FE5A2E" w:rsidP="00D045B1">
      <w:pPr>
        <w:pStyle w:val="BodyText"/>
        <w:pBdr>
          <w:top w:val="single" w:sz="4" w:space="1" w:color="auto"/>
          <w:left w:val="single" w:sz="4" w:space="4" w:color="auto"/>
          <w:bottom w:val="single" w:sz="4" w:space="1" w:color="auto"/>
          <w:right w:val="single" w:sz="4" w:space="4" w:color="auto"/>
        </w:pBdr>
        <w:spacing w:before="240"/>
        <w:ind w:left="851" w:right="19"/>
        <w:rPr>
          <w:rFonts w:asciiTheme="minorHAnsi" w:hAnsiTheme="minorHAnsi" w:cstheme="minorHAnsi"/>
          <w:sz w:val="18"/>
          <w:szCs w:val="18"/>
          <w:lang w:val="en-NZ"/>
        </w:rPr>
      </w:pPr>
      <w:r>
        <w:rPr>
          <w:rFonts w:asciiTheme="minorHAnsi" w:hAnsiTheme="minorHAnsi" w:cstheme="minorHAnsi"/>
          <w:sz w:val="18"/>
          <w:szCs w:val="18"/>
          <w:lang w:val="en-NZ"/>
        </w:rPr>
        <w:t>AON Insurance. Please see:</w:t>
      </w:r>
    </w:p>
    <w:p w14:paraId="168407AE" w14:textId="1ADA83A1" w:rsidR="00FE5A2E" w:rsidRDefault="00FE5A2E" w:rsidP="00D045B1">
      <w:pPr>
        <w:pStyle w:val="BodyText"/>
        <w:pBdr>
          <w:top w:val="single" w:sz="4" w:space="1" w:color="auto"/>
          <w:left w:val="single" w:sz="4" w:space="4" w:color="auto"/>
          <w:bottom w:val="single" w:sz="4" w:space="1" w:color="auto"/>
          <w:right w:val="single" w:sz="4" w:space="4" w:color="auto"/>
        </w:pBdr>
        <w:spacing w:before="240"/>
        <w:ind w:left="851" w:right="19"/>
        <w:rPr>
          <w:rFonts w:asciiTheme="minorHAnsi" w:hAnsiTheme="minorHAnsi" w:cstheme="minorHAnsi"/>
          <w:sz w:val="18"/>
          <w:szCs w:val="18"/>
          <w:lang w:val="en-NZ"/>
        </w:rPr>
      </w:pPr>
      <w:r w:rsidRPr="00FE5A2E">
        <w:rPr>
          <w:rFonts w:asciiTheme="minorHAnsi" w:hAnsiTheme="minorHAnsi" w:cstheme="minorHAnsi"/>
          <w:sz w:val="18"/>
          <w:szCs w:val="18"/>
          <w:lang w:val="en-NZ"/>
        </w:rPr>
        <w:t>2024 Pinnacle COC insurance</w:t>
      </w:r>
    </w:p>
    <w:p w14:paraId="13D61B49" w14:textId="0D8283D5" w:rsidR="00FE5A2E" w:rsidRDefault="00FE5A2E" w:rsidP="00D045B1">
      <w:pPr>
        <w:pStyle w:val="BodyText"/>
        <w:pBdr>
          <w:top w:val="single" w:sz="4" w:space="1" w:color="auto"/>
          <w:left w:val="single" w:sz="4" w:space="4" w:color="auto"/>
          <w:bottom w:val="single" w:sz="4" w:space="1" w:color="auto"/>
          <w:right w:val="single" w:sz="4" w:space="4" w:color="auto"/>
        </w:pBdr>
        <w:spacing w:before="240"/>
        <w:ind w:left="851" w:right="19"/>
        <w:rPr>
          <w:rFonts w:asciiTheme="minorHAnsi" w:hAnsiTheme="minorHAnsi" w:cstheme="minorHAnsi"/>
          <w:sz w:val="18"/>
          <w:szCs w:val="18"/>
          <w:lang w:val="en-NZ"/>
        </w:rPr>
      </w:pPr>
      <w:r w:rsidRPr="00FE5A2E">
        <w:rPr>
          <w:rFonts w:asciiTheme="minorHAnsi" w:hAnsiTheme="minorHAnsi" w:cstheme="minorHAnsi"/>
          <w:sz w:val="18"/>
          <w:szCs w:val="18"/>
          <w:lang w:val="en-NZ"/>
        </w:rPr>
        <w:t>2024 Pinnacle Master-COC Insurance</w:t>
      </w:r>
    </w:p>
    <w:p w14:paraId="4EB610D5" w14:textId="4C89125D" w:rsidR="00FE5A2E" w:rsidRPr="00026C1F" w:rsidRDefault="00FE5A2E" w:rsidP="00D045B1">
      <w:pPr>
        <w:pStyle w:val="BodyText"/>
        <w:pBdr>
          <w:top w:val="single" w:sz="4" w:space="1" w:color="auto"/>
          <w:left w:val="single" w:sz="4" w:space="4" w:color="auto"/>
          <w:bottom w:val="single" w:sz="4" w:space="1" w:color="auto"/>
          <w:right w:val="single" w:sz="4" w:space="4" w:color="auto"/>
        </w:pBdr>
        <w:spacing w:before="240"/>
        <w:ind w:left="851" w:right="19"/>
        <w:rPr>
          <w:rFonts w:asciiTheme="minorHAnsi" w:hAnsiTheme="minorHAnsi" w:cstheme="minorHAnsi"/>
          <w:sz w:val="18"/>
          <w:szCs w:val="18"/>
          <w:lang w:val="en-NZ"/>
        </w:rPr>
      </w:pPr>
      <w:r w:rsidRPr="00FE5A2E">
        <w:rPr>
          <w:rFonts w:asciiTheme="minorHAnsi" w:hAnsiTheme="minorHAnsi" w:cstheme="minorHAnsi"/>
          <w:sz w:val="18"/>
          <w:szCs w:val="18"/>
          <w:lang w:val="en-NZ"/>
        </w:rPr>
        <w:t>160 Victoria Street Welcome-Letter-to-Client-Insurance-Funding-schedule-2024</w:t>
      </w:r>
    </w:p>
    <w:p w14:paraId="209CBCEB" w14:textId="0A0CACD4" w:rsidR="00026C1F" w:rsidRPr="00026C1F" w:rsidRDefault="00D045B1" w:rsidP="00026C1F">
      <w:pPr>
        <w:pStyle w:val="BodyText"/>
        <w:spacing w:before="240"/>
        <w:ind w:left="720" w:right="19" w:hanging="720"/>
        <w:rPr>
          <w:rFonts w:asciiTheme="minorHAnsi" w:hAnsiTheme="minorHAnsi" w:cstheme="minorHAnsi"/>
          <w:i/>
          <w:iCs/>
          <w:sz w:val="18"/>
          <w:szCs w:val="18"/>
          <w:lang w:val="en-NZ"/>
        </w:rPr>
      </w:pPr>
      <w:r>
        <w:rPr>
          <w:rFonts w:asciiTheme="minorHAnsi" w:hAnsiTheme="minorHAnsi" w:cstheme="minorHAnsi"/>
          <w:lang w:val="en-NZ"/>
        </w:rPr>
        <w:t>19</w:t>
      </w:r>
      <w:r w:rsidR="00026C1F" w:rsidRPr="00026C1F">
        <w:rPr>
          <w:rFonts w:asciiTheme="minorHAnsi" w:hAnsiTheme="minorHAnsi" w:cstheme="minorHAnsi"/>
          <w:lang w:val="en-NZ"/>
        </w:rPr>
        <w:tab/>
      </w:r>
      <w:r w:rsidR="00026C1F" w:rsidRPr="00026C1F">
        <w:rPr>
          <w:rFonts w:asciiTheme="minorHAnsi" w:hAnsiTheme="minorHAnsi" w:cstheme="minorHAnsi"/>
          <w:i/>
          <w:iCs/>
          <w:sz w:val="18"/>
          <w:szCs w:val="18"/>
          <w:lang w:val="en-NZ"/>
        </w:rPr>
        <w:t>Select the statement that applies:</w:t>
      </w:r>
    </w:p>
    <w:tbl>
      <w:tblPr>
        <w:tblStyle w:val="TableGrid"/>
        <w:tblW w:w="0" w:type="auto"/>
        <w:tblInd w:w="720" w:type="dxa"/>
        <w:tblLook w:val="04A0" w:firstRow="1" w:lastRow="0" w:firstColumn="1" w:lastColumn="0" w:noHBand="0" w:noVBand="1"/>
      </w:tblPr>
      <w:tblGrid>
        <w:gridCol w:w="8918"/>
      </w:tblGrid>
      <w:tr w:rsidR="00026C1F" w:rsidRPr="00026C1F" w14:paraId="48AD5DE1" w14:textId="77777777" w:rsidTr="007042CD">
        <w:tc>
          <w:tcPr>
            <w:tcW w:w="8918" w:type="dxa"/>
            <w:tcBorders>
              <w:top w:val="nil"/>
              <w:left w:val="nil"/>
              <w:bottom w:val="nil"/>
              <w:right w:val="nil"/>
            </w:tcBorders>
          </w:tcPr>
          <w:p w14:paraId="2E9FEF55" w14:textId="32DC6C8A" w:rsidR="00026C1F" w:rsidRPr="00026C1F" w:rsidRDefault="00026C1F" w:rsidP="00FE5A2E">
            <w:pPr>
              <w:pStyle w:val="BodyText"/>
              <w:spacing w:before="240"/>
              <w:ind w:left="397" w:right="17" w:hanging="397"/>
              <w:rPr>
                <w:rFonts w:asciiTheme="minorHAnsi" w:hAnsiTheme="minorHAnsi" w:cstheme="minorHAnsi"/>
                <w:lang w:val="en-NZ"/>
              </w:rPr>
            </w:pPr>
            <w:r w:rsidRPr="00026C1F">
              <w:rPr>
                <w:rFonts w:asciiTheme="minorHAnsi" w:hAnsiTheme="minorHAnsi" w:cstheme="minorHAnsi"/>
                <w:bdr w:val="single" w:sz="4" w:space="0" w:color="auto"/>
                <w:lang w:val="en-NZ"/>
              </w:rPr>
              <w:lastRenderedPageBreak/>
              <w:t xml:space="preserve">  </w:t>
            </w:r>
            <w:r w:rsidR="00FE5A2E">
              <w:rPr>
                <w:rFonts w:asciiTheme="minorHAnsi" w:hAnsiTheme="minorHAnsi" w:cstheme="minorHAnsi"/>
                <w:bdr w:val="single" w:sz="4" w:space="0" w:color="auto"/>
                <w:lang w:val="en-NZ"/>
              </w:rPr>
              <w:t>x</w:t>
            </w:r>
            <w:r w:rsidRPr="00026C1F">
              <w:rPr>
                <w:rFonts w:asciiTheme="minorHAnsi" w:hAnsiTheme="minorHAnsi" w:cstheme="minorHAnsi"/>
                <w:bdr w:val="single" w:sz="4" w:space="0" w:color="auto"/>
                <w:lang w:val="en-NZ"/>
              </w:rPr>
              <w:t xml:space="preserve">   </w:t>
            </w:r>
            <w:r w:rsidRPr="00026C1F">
              <w:rPr>
                <w:rFonts w:asciiTheme="minorHAnsi" w:hAnsiTheme="minorHAnsi" w:cstheme="minorHAnsi"/>
                <w:lang w:val="en-NZ"/>
              </w:rPr>
              <w:t xml:space="preserve">  </w:t>
            </w:r>
            <w:proofErr w:type="gramStart"/>
            <w:r w:rsidRPr="00026C1F">
              <w:rPr>
                <w:rFonts w:asciiTheme="minorHAnsi" w:hAnsiTheme="minorHAnsi" w:cstheme="minorHAnsi"/>
                <w:lang w:val="en-NZ"/>
              </w:rPr>
              <w:t>The</w:t>
            </w:r>
            <w:proofErr w:type="gramEnd"/>
            <w:r w:rsidRPr="00026C1F">
              <w:rPr>
                <w:rFonts w:asciiTheme="minorHAnsi" w:hAnsiTheme="minorHAnsi" w:cstheme="minorHAnsi"/>
                <w:lang w:val="en-NZ"/>
              </w:rPr>
              <w:t xml:space="preserve"> body corporate is not involved in any proceedings in any court or tribunal as at the date of this pre-contract disclosure statement.</w:t>
            </w:r>
          </w:p>
        </w:tc>
      </w:tr>
    </w:tbl>
    <w:p w14:paraId="35D218A0" w14:textId="540650DE" w:rsidR="007042CD" w:rsidRPr="007042CD" w:rsidRDefault="007042CD" w:rsidP="00026C1F">
      <w:pPr>
        <w:pStyle w:val="BodyText"/>
        <w:spacing w:before="240"/>
        <w:ind w:right="17"/>
        <w:rPr>
          <w:rFonts w:asciiTheme="minorHAnsi" w:hAnsiTheme="minorHAnsi" w:cstheme="minorHAnsi"/>
          <w:sz w:val="28"/>
          <w:szCs w:val="28"/>
          <w:lang w:val="en-NZ"/>
        </w:rPr>
      </w:pPr>
      <w:r w:rsidRPr="007042CD">
        <w:rPr>
          <w:rFonts w:asciiTheme="minorHAnsi" w:hAnsiTheme="minorHAnsi" w:cstheme="minorHAnsi"/>
          <w:sz w:val="28"/>
          <w:szCs w:val="28"/>
          <w:lang w:val="en-NZ"/>
        </w:rPr>
        <w:t>General information</w:t>
      </w:r>
    </w:p>
    <w:p w14:paraId="115937C8" w14:textId="373EFB01" w:rsidR="007042CD" w:rsidRDefault="00D045B1" w:rsidP="00B25C1E">
      <w:pPr>
        <w:pStyle w:val="BodyText"/>
        <w:spacing w:before="240"/>
        <w:ind w:left="720" w:right="17" w:hanging="720"/>
        <w:rPr>
          <w:rFonts w:asciiTheme="minorHAnsi" w:hAnsiTheme="minorHAnsi" w:cstheme="minorHAnsi"/>
          <w:lang w:val="en-NZ"/>
        </w:rPr>
      </w:pPr>
      <w:r>
        <w:rPr>
          <w:rFonts w:asciiTheme="minorHAnsi" w:hAnsiTheme="minorHAnsi" w:cstheme="minorHAnsi"/>
          <w:lang w:val="en-NZ"/>
        </w:rPr>
        <w:t>20</w:t>
      </w:r>
      <w:r w:rsidR="007042CD">
        <w:rPr>
          <w:rFonts w:asciiTheme="minorHAnsi" w:hAnsiTheme="minorHAnsi" w:cstheme="minorHAnsi"/>
          <w:lang w:val="en-NZ"/>
        </w:rPr>
        <w:tab/>
      </w:r>
      <w:r w:rsidR="007042CD" w:rsidRPr="007042CD">
        <w:rPr>
          <w:rFonts w:asciiTheme="minorHAnsi" w:hAnsiTheme="minorHAnsi" w:cstheme="minorHAnsi"/>
          <w:lang w:val="en-NZ"/>
        </w:rPr>
        <w:t>The following section contains a brief explanation of important matters relevant to the purchase of a unit in a unit title development.  You should read and understand the information contained in this section and this statement before signing a contract to buy a unit in a unit title development.</w:t>
      </w:r>
    </w:p>
    <w:p w14:paraId="4436E765" w14:textId="07064180" w:rsidR="007042CD" w:rsidRDefault="007042CD" w:rsidP="00B25C1E">
      <w:pPr>
        <w:pStyle w:val="BodyText"/>
        <w:spacing w:before="240"/>
        <w:ind w:left="720" w:right="17" w:hanging="720"/>
        <w:rPr>
          <w:rFonts w:asciiTheme="minorHAnsi" w:hAnsiTheme="minorHAnsi" w:cstheme="minorHAnsi"/>
          <w:lang w:val="en-NZ"/>
        </w:rPr>
      </w:pPr>
      <w:r>
        <w:rPr>
          <w:rFonts w:asciiTheme="minorHAnsi" w:hAnsiTheme="minorHAnsi" w:cstheme="minorHAnsi"/>
          <w:lang w:val="en-NZ"/>
        </w:rPr>
        <w:tab/>
      </w:r>
      <w:r w:rsidRPr="007042CD">
        <w:rPr>
          <w:rFonts w:asciiTheme="minorHAnsi" w:hAnsiTheme="minorHAnsi" w:cstheme="minorHAnsi"/>
          <w:lang w:val="en-NZ"/>
        </w:rPr>
        <w:t>Further information on buying, selling a unit and living in a unit title development can be obtained by:</w:t>
      </w:r>
    </w:p>
    <w:p w14:paraId="44546FD8" w14:textId="03E910BE" w:rsidR="007042CD" w:rsidRPr="007042CD" w:rsidRDefault="007042CD" w:rsidP="00B25C1E">
      <w:pPr>
        <w:pStyle w:val="ListParagraph"/>
        <w:numPr>
          <w:ilvl w:val="0"/>
          <w:numId w:val="21"/>
        </w:numPr>
        <w:spacing w:before="240"/>
        <w:rPr>
          <w:rFonts w:eastAsia="Calibri" w:cstheme="minorHAnsi"/>
          <w:lang w:val="en-NZ"/>
        </w:rPr>
      </w:pPr>
      <w:r w:rsidRPr="007042CD">
        <w:rPr>
          <w:rFonts w:eastAsia="Calibri" w:cstheme="minorHAnsi"/>
          <w:lang w:val="en-NZ"/>
        </w:rPr>
        <w:t xml:space="preserve">reading the publication “Short guide to unit titles”, which is available on the Unit Title Services website: </w:t>
      </w:r>
      <w:hyperlink r:id="rId12" w:history="1">
        <w:r w:rsidRPr="0094554F">
          <w:rPr>
            <w:rStyle w:val="Hyperlink"/>
            <w:rFonts w:eastAsia="Calibri" w:cstheme="minorHAnsi"/>
            <w:lang w:val="en-NZ"/>
          </w:rPr>
          <w:t>unittitles.govt.nz</w:t>
        </w:r>
      </w:hyperlink>
      <w:r>
        <w:rPr>
          <w:rFonts w:eastAsia="Calibri" w:cstheme="minorHAnsi"/>
          <w:lang w:val="en-NZ"/>
        </w:rPr>
        <w:t xml:space="preserve"> </w:t>
      </w:r>
    </w:p>
    <w:p w14:paraId="6A3B0301" w14:textId="2720665D" w:rsidR="007042CD" w:rsidRPr="007042CD" w:rsidRDefault="007042CD" w:rsidP="00B25C1E">
      <w:pPr>
        <w:pStyle w:val="ListParagraph"/>
        <w:numPr>
          <w:ilvl w:val="0"/>
          <w:numId w:val="21"/>
        </w:numPr>
        <w:spacing w:before="240"/>
        <w:rPr>
          <w:rFonts w:eastAsia="Calibri" w:cstheme="minorHAnsi"/>
          <w:lang w:val="en-NZ"/>
        </w:rPr>
      </w:pPr>
      <w:r w:rsidRPr="007042CD">
        <w:rPr>
          <w:rFonts w:eastAsia="Calibri" w:cstheme="minorHAnsi"/>
          <w:lang w:val="en-NZ"/>
        </w:rPr>
        <w:t xml:space="preserve">contacting the Ministry of Business, Innovation </w:t>
      </w:r>
      <w:r>
        <w:rPr>
          <w:rFonts w:eastAsia="Calibri" w:cstheme="minorHAnsi"/>
          <w:lang w:val="en-NZ"/>
        </w:rPr>
        <w:t>&amp;</w:t>
      </w:r>
      <w:r w:rsidRPr="007042CD">
        <w:rPr>
          <w:rFonts w:eastAsia="Calibri" w:cstheme="minorHAnsi"/>
          <w:lang w:val="en-NZ"/>
        </w:rPr>
        <w:t xml:space="preserve"> Employment </w:t>
      </w:r>
      <w:r>
        <w:rPr>
          <w:rFonts w:eastAsia="Calibri" w:cstheme="minorHAnsi"/>
          <w:lang w:val="en-NZ"/>
        </w:rPr>
        <w:t>service</w:t>
      </w:r>
      <w:r w:rsidRPr="007042CD">
        <w:rPr>
          <w:rFonts w:eastAsia="Calibri" w:cstheme="minorHAnsi"/>
          <w:lang w:val="en-NZ"/>
        </w:rPr>
        <w:t xml:space="preserve"> centre: 0800 UNIT TITLES (0800 864 884)</w:t>
      </w:r>
    </w:p>
    <w:p w14:paraId="160B8E57" w14:textId="6EC7BF49" w:rsidR="007042CD" w:rsidRDefault="007042CD" w:rsidP="00B25C1E">
      <w:pPr>
        <w:pStyle w:val="BodyText"/>
        <w:spacing w:before="240"/>
        <w:ind w:left="720" w:right="17"/>
        <w:rPr>
          <w:rFonts w:asciiTheme="minorHAnsi" w:hAnsiTheme="minorHAnsi" w:cstheme="minorHAnsi"/>
          <w:lang w:val="en-NZ"/>
        </w:rPr>
      </w:pPr>
      <w:r w:rsidRPr="007042CD">
        <w:rPr>
          <w:rFonts w:asciiTheme="minorHAnsi" w:hAnsiTheme="minorHAnsi" w:cstheme="minorHAnsi"/>
          <w:lang w:val="en-NZ"/>
        </w:rPr>
        <w:t>You are strongly advised to obtain independent legal advice regarding any questions or concerns you have about purchasing a unit or your prospective rights and obligations as a member of a body corporate.</w:t>
      </w:r>
    </w:p>
    <w:p w14:paraId="53883AF3" w14:textId="77777777" w:rsidR="007042CD" w:rsidRPr="007042CD" w:rsidRDefault="007042CD" w:rsidP="00B25C1E">
      <w:pPr>
        <w:spacing w:before="240" w:after="0"/>
        <w:ind w:left="720"/>
        <w:rPr>
          <w:rFonts w:eastAsia="Calibri" w:cstheme="minorHAnsi"/>
        </w:rPr>
      </w:pPr>
      <w:r w:rsidRPr="00095E6A">
        <w:rPr>
          <w:rFonts w:eastAsia="Calibri" w:cstheme="minorHAnsi"/>
          <w:b/>
          <w:bCs/>
          <w:u w:val="single"/>
        </w:rPr>
        <w:t>Unit title property ownership</w:t>
      </w:r>
      <w:r w:rsidRPr="007042CD">
        <w:rPr>
          <w:rFonts w:eastAsia="Calibri" w:cstheme="minorHAnsi"/>
        </w:rPr>
        <w:t xml:space="preserve">.  Unit titles are a common form of multi-unit property ownership.  They allow owners to privately own an area of land or part of a building and share common property with other unit owners.  Unit title developments may also be structured in varied ways including staged unit title developments and layered unit title developments.  </w:t>
      </w:r>
    </w:p>
    <w:p w14:paraId="39863DB4" w14:textId="77777777" w:rsidR="007042CD" w:rsidRPr="007042CD" w:rsidRDefault="007042CD" w:rsidP="00B25C1E">
      <w:pPr>
        <w:spacing w:before="240" w:after="0"/>
        <w:ind w:left="720"/>
        <w:rPr>
          <w:rFonts w:eastAsia="Calibri" w:cstheme="minorHAnsi"/>
        </w:rPr>
      </w:pPr>
      <w:r w:rsidRPr="007042CD">
        <w:rPr>
          <w:rFonts w:eastAsia="Calibri" w:cstheme="minorHAnsi"/>
        </w:rPr>
        <w:t xml:space="preserve">This combination of individual and shared ownership of land and buildings, often in an intensive built environment, means owning a unit title involves a different set of rights and responsibilities than traditional house and land ownership.  </w:t>
      </w:r>
    </w:p>
    <w:p w14:paraId="27C1B277" w14:textId="77777777" w:rsidR="007042CD" w:rsidRPr="007042CD" w:rsidRDefault="007042CD" w:rsidP="00B25C1E">
      <w:pPr>
        <w:spacing w:before="240" w:after="0"/>
        <w:ind w:left="720"/>
        <w:rPr>
          <w:rFonts w:eastAsia="Calibri" w:cstheme="minorHAnsi"/>
        </w:rPr>
      </w:pPr>
      <w:r w:rsidRPr="007042CD">
        <w:rPr>
          <w:rFonts w:eastAsia="Calibri" w:cstheme="minorHAnsi"/>
        </w:rPr>
        <w:t>Unit title developments have a body corporate management structure to ensure decisions affecting the development can be made jointly by the unit owners.  The creation and management of unit title developments is governed by the Unit Titles Act 2010 and supporting regulations.</w:t>
      </w:r>
    </w:p>
    <w:p w14:paraId="05160299" w14:textId="77777777" w:rsidR="007042CD" w:rsidRPr="007042CD" w:rsidRDefault="007042CD" w:rsidP="00B25C1E">
      <w:pPr>
        <w:pStyle w:val="Default"/>
        <w:spacing w:before="240"/>
        <w:ind w:left="720"/>
        <w:rPr>
          <w:rFonts w:asciiTheme="minorHAnsi" w:eastAsia="Calibri" w:hAnsiTheme="minorHAnsi" w:cstheme="minorHAnsi"/>
          <w:color w:val="auto"/>
          <w:sz w:val="22"/>
          <w:szCs w:val="22"/>
          <w:lang w:val="en-NZ" w:eastAsia="en-US"/>
        </w:rPr>
      </w:pPr>
      <w:r w:rsidRPr="00095E6A">
        <w:rPr>
          <w:rFonts w:asciiTheme="minorHAnsi" w:eastAsia="Calibri" w:hAnsiTheme="minorHAnsi" w:cstheme="minorHAnsi"/>
          <w:b/>
          <w:bCs/>
          <w:color w:val="auto"/>
          <w:sz w:val="22"/>
          <w:szCs w:val="22"/>
          <w:u w:val="single"/>
          <w:lang w:val="en-NZ" w:eastAsia="en-US"/>
        </w:rPr>
        <w:t>Unit plan</w:t>
      </w:r>
      <w:r w:rsidRPr="007042CD">
        <w:rPr>
          <w:rFonts w:asciiTheme="minorHAnsi" w:eastAsia="Calibri" w:hAnsiTheme="minorHAnsi" w:cstheme="minorHAnsi"/>
          <w:color w:val="auto"/>
          <w:sz w:val="22"/>
          <w:szCs w:val="22"/>
          <w:lang w:val="en-NZ" w:eastAsia="en-US"/>
        </w:rPr>
        <w:t>.  Every unit title development has a unit plan, which shows the location of the principal units as well as any accessory units and common property in the development. The unit plan is the formal record of all of the boundaries of the units, and the common property.</w:t>
      </w:r>
    </w:p>
    <w:p w14:paraId="7EBEC810" w14:textId="77777777" w:rsidR="007042CD" w:rsidRPr="007042CD" w:rsidRDefault="007042CD" w:rsidP="00B25C1E">
      <w:pPr>
        <w:pStyle w:val="Default"/>
        <w:spacing w:before="240"/>
        <w:ind w:left="720"/>
        <w:rPr>
          <w:rFonts w:asciiTheme="minorHAnsi" w:eastAsia="Calibri" w:hAnsiTheme="minorHAnsi" w:cstheme="minorHAnsi"/>
          <w:color w:val="auto"/>
          <w:sz w:val="22"/>
          <w:szCs w:val="22"/>
          <w:lang w:val="en-NZ" w:eastAsia="en-US"/>
        </w:rPr>
      </w:pPr>
      <w:r w:rsidRPr="00095E6A">
        <w:rPr>
          <w:rFonts w:asciiTheme="minorHAnsi" w:eastAsia="Calibri" w:hAnsiTheme="minorHAnsi" w:cstheme="minorHAnsi"/>
          <w:b/>
          <w:bCs/>
          <w:color w:val="auto"/>
          <w:sz w:val="22"/>
          <w:szCs w:val="22"/>
          <w:u w:val="single"/>
          <w:lang w:val="en-NZ" w:eastAsia="en-US"/>
        </w:rPr>
        <w:t>Ownership and utility interests</w:t>
      </w:r>
      <w:r w:rsidRPr="007042CD">
        <w:rPr>
          <w:rFonts w:asciiTheme="minorHAnsi" w:eastAsia="Calibri" w:hAnsiTheme="minorHAnsi" w:cstheme="minorHAnsi"/>
          <w:color w:val="auto"/>
          <w:sz w:val="22"/>
          <w:szCs w:val="22"/>
          <w:lang w:val="en-NZ" w:eastAsia="en-US"/>
        </w:rPr>
        <w:t xml:space="preserve">.  Each unit is allocated an ownership interest and a utility </w:t>
      </w:r>
      <w:proofErr w:type="gramStart"/>
      <w:r w:rsidRPr="007042CD">
        <w:rPr>
          <w:rFonts w:asciiTheme="minorHAnsi" w:eastAsia="Calibri" w:hAnsiTheme="minorHAnsi" w:cstheme="minorHAnsi"/>
          <w:color w:val="auto"/>
          <w:sz w:val="22"/>
          <w:szCs w:val="22"/>
          <w:lang w:val="en-NZ" w:eastAsia="en-US"/>
        </w:rPr>
        <w:t>interest</w:t>
      </w:r>
      <w:proofErr w:type="gramEnd"/>
      <w:r w:rsidRPr="007042CD">
        <w:rPr>
          <w:rFonts w:asciiTheme="minorHAnsi" w:eastAsia="Calibri" w:hAnsiTheme="minorHAnsi" w:cstheme="minorHAnsi"/>
          <w:color w:val="auto"/>
          <w:sz w:val="22"/>
          <w:szCs w:val="22"/>
          <w:lang w:val="en-NZ" w:eastAsia="en-US"/>
        </w:rPr>
        <w:t xml:space="preserve"> and such interests are relevant to the determination of many of the unit owner’s rights and responsibilities under the Unit Titles Act 2010. </w:t>
      </w:r>
    </w:p>
    <w:p w14:paraId="4E4800AF" w14:textId="77777777" w:rsidR="007042CD" w:rsidRPr="007042CD" w:rsidRDefault="007042CD" w:rsidP="00B25C1E">
      <w:pPr>
        <w:pStyle w:val="Default"/>
        <w:spacing w:before="240"/>
        <w:ind w:left="720"/>
        <w:rPr>
          <w:rFonts w:asciiTheme="minorHAnsi" w:eastAsia="Calibri" w:hAnsiTheme="minorHAnsi" w:cstheme="minorHAnsi"/>
          <w:color w:val="auto"/>
          <w:sz w:val="22"/>
          <w:szCs w:val="22"/>
          <w:lang w:val="en-NZ" w:eastAsia="en-US"/>
        </w:rPr>
      </w:pPr>
      <w:r w:rsidRPr="007042CD">
        <w:rPr>
          <w:rFonts w:asciiTheme="minorHAnsi" w:eastAsia="Calibri" w:hAnsiTheme="minorHAnsi" w:cstheme="minorHAnsi"/>
          <w:color w:val="auto"/>
          <w:sz w:val="22"/>
          <w:szCs w:val="22"/>
          <w:lang w:val="en-NZ" w:eastAsia="en-US"/>
        </w:rPr>
        <w:t>Ownership interest is a number that reflects the relative value of each unit to the other units in the development, and is used to determine a range of matters including the unit owners’ beneficial share in the common property, and share in the underlying land if the unit plan is cancelled.</w:t>
      </w:r>
    </w:p>
    <w:p w14:paraId="622D2C40" w14:textId="77777777" w:rsidR="007042CD" w:rsidRPr="007042CD" w:rsidRDefault="007042CD" w:rsidP="00B25C1E">
      <w:pPr>
        <w:pStyle w:val="Default"/>
        <w:spacing w:before="240"/>
        <w:ind w:left="720"/>
        <w:rPr>
          <w:rFonts w:asciiTheme="minorHAnsi" w:eastAsia="Calibri" w:hAnsiTheme="minorHAnsi" w:cstheme="minorHAnsi"/>
          <w:color w:val="auto"/>
          <w:sz w:val="22"/>
          <w:szCs w:val="22"/>
          <w:lang w:val="en-NZ" w:eastAsia="en-US"/>
        </w:rPr>
      </w:pPr>
      <w:r w:rsidRPr="007042CD">
        <w:rPr>
          <w:rFonts w:asciiTheme="minorHAnsi" w:eastAsia="Calibri" w:hAnsiTheme="minorHAnsi" w:cstheme="minorHAnsi"/>
          <w:color w:val="auto"/>
          <w:sz w:val="22"/>
          <w:szCs w:val="22"/>
          <w:lang w:val="en-NZ" w:eastAsia="en-US"/>
        </w:rPr>
        <w:t>By default, the utility interest of a unit is the same as the ownership interest (unless it is otherwise specified on the deposit of the unit plan or subsequently changed), and is used to calculate how much each owner contributes to the operational costs of the body corporate.</w:t>
      </w:r>
    </w:p>
    <w:p w14:paraId="0AE811E9" w14:textId="77777777" w:rsidR="007042CD" w:rsidRPr="007042CD" w:rsidRDefault="007042CD" w:rsidP="00B25C1E">
      <w:pPr>
        <w:pStyle w:val="Default"/>
        <w:spacing w:before="240"/>
        <w:ind w:left="720"/>
        <w:rPr>
          <w:rFonts w:asciiTheme="minorHAnsi" w:eastAsia="Calibri" w:hAnsiTheme="minorHAnsi" w:cstheme="minorHAnsi"/>
          <w:color w:val="auto"/>
          <w:sz w:val="22"/>
          <w:szCs w:val="22"/>
          <w:lang w:val="en-NZ" w:eastAsia="en-US"/>
        </w:rPr>
      </w:pPr>
      <w:r w:rsidRPr="00095E6A">
        <w:rPr>
          <w:rFonts w:asciiTheme="minorHAnsi" w:eastAsia="Calibri" w:hAnsiTheme="minorHAnsi" w:cstheme="minorHAnsi"/>
          <w:b/>
          <w:bCs/>
          <w:color w:val="auto"/>
          <w:sz w:val="22"/>
          <w:szCs w:val="22"/>
          <w:u w:val="single"/>
          <w:lang w:val="en-NZ" w:eastAsia="en-US"/>
        </w:rPr>
        <w:t>Body corporate operational rules</w:t>
      </w:r>
      <w:r w:rsidRPr="007042CD">
        <w:rPr>
          <w:rFonts w:asciiTheme="minorHAnsi" w:eastAsia="Calibri" w:hAnsiTheme="minorHAnsi" w:cstheme="minorHAnsi"/>
          <w:color w:val="auto"/>
          <w:sz w:val="22"/>
          <w:szCs w:val="22"/>
          <w:lang w:val="en-NZ" w:eastAsia="en-US"/>
        </w:rPr>
        <w:t xml:space="preserve">.  The body corporate for a unit title development can make its own operational rules on the use of the development, and governance of the body corporate.  </w:t>
      </w:r>
      <w:r w:rsidRPr="007042CD">
        <w:rPr>
          <w:rFonts w:asciiTheme="minorHAnsi" w:eastAsia="Calibri" w:hAnsiTheme="minorHAnsi" w:cstheme="minorHAnsi"/>
          <w:color w:val="auto"/>
          <w:sz w:val="22"/>
          <w:szCs w:val="22"/>
          <w:lang w:val="en-NZ" w:eastAsia="en-US"/>
        </w:rPr>
        <w:lastRenderedPageBreak/>
        <w:t xml:space="preserve">These operational rules are subject to the provisions of the Unit Titles Act 2010 and regulations made under that Act.  </w:t>
      </w:r>
    </w:p>
    <w:p w14:paraId="0403C189" w14:textId="50854806" w:rsidR="007042CD" w:rsidRPr="007042CD" w:rsidRDefault="007042CD" w:rsidP="00B25C1E">
      <w:pPr>
        <w:pStyle w:val="Default"/>
        <w:spacing w:before="240"/>
        <w:ind w:left="720"/>
        <w:rPr>
          <w:rFonts w:asciiTheme="minorHAnsi" w:eastAsia="Calibri" w:hAnsiTheme="minorHAnsi" w:cstheme="minorHAnsi"/>
          <w:color w:val="auto"/>
          <w:sz w:val="22"/>
          <w:szCs w:val="22"/>
          <w:lang w:val="en-NZ" w:eastAsia="en-US"/>
        </w:rPr>
      </w:pPr>
      <w:r w:rsidRPr="007042CD">
        <w:rPr>
          <w:rFonts w:asciiTheme="minorHAnsi" w:eastAsia="Calibri" w:hAnsiTheme="minorHAnsi" w:cstheme="minorHAnsi"/>
          <w:color w:val="auto"/>
          <w:sz w:val="22"/>
          <w:szCs w:val="22"/>
          <w:lang w:val="en-NZ" w:eastAsia="en-US"/>
        </w:rPr>
        <w:t xml:space="preserve">All unit owners, occupiers, tenants and the body corporate must follow the body corporate operational rules that apply to their unit title development.  </w:t>
      </w:r>
    </w:p>
    <w:p w14:paraId="070772D4" w14:textId="316298A0" w:rsidR="007042CD" w:rsidRDefault="00095E6A" w:rsidP="00B25C1E">
      <w:pPr>
        <w:pStyle w:val="BodyText"/>
        <w:spacing w:before="240"/>
        <w:ind w:left="720" w:right="17"/>
        <w:rPr>
          <w:rFonts w:asciiTheme="minorHAnsi" w:hAnsiTheme="minorHAnsi" w:cstheme="minorHAnsi"/>
          <w:lang w:val="en-NZ"/>
        </w:rPr>
      </w:pPr>
      <w:r w:rsidRPr="00095E6A">
        <w:rPr>
          <w:rFonts w:asciiTheme="minorHAnsi" w:hAnsiTheme="minorHAnsi" w:cstheme="minorHAnsi"/>
          <w:b/>
          <w:bCs/>
          <w:u w:val="single"/>
          <w:lang w:val="en-NZ"/>
        </w:rPr>
        <w:t>Pre-settlement disclosure statement</w:t>
      </w:r>
      <w:r w:rsidRPr="00095E6A">
        <w:rPr>
          <w:rFonts w:asciiTheme="minorHAnsi" w:hAnsiTheme="minorHAnsi" w:cstheme="minorHAnsi"/>
          <w:lang w:val="en-NZ"/>
        </w:rPr>
        <w:t>.  Before settlement of the sale of a unit, the seller must provide a pre-settlement disclosure statement to the purchaser, which includes information on:</w:t>
      </w:r>
    </w:p>
    <w:p w14:paraId="35B1E5C9" w14:textId="77777777" w:rsidR="00095E6A" w:rsidRPr="00095E6A" w:rsidRDefault="00095E6A" w:rsidP="00B25C1E">
      <w:pPr>
        <w:pStyle w:val="ListParagraph"/>
        <w:numPr>
          <w:ilvl w:val="0"/>
          <w:numId w:val="21"/>
        </w:numPr>
        <w:spacing w:before="240"/>
        <w:rPr>
          <w:rFonts w:eastAsia="Calibri" w:cstheme="minorHAnsi"/>
          <w:lang w:val="en-NZ"/>
        </w:rPr>
      </w:pPr>
      <w:r w:rsidRPr="00095E6A">
        <w:rPr>
          <w:rFonts w:eastAsia="Calibri" w:cstheme="minorHAnsi"/>
          <w:lang w:val="en-NZ"/>
        </w:rPr>
        <w:t>the unit number and body corporate number</w:t>
      </w:r>
    </w:p>
    <w:p w14:paraId="04C91482" w14:textId="77777777" w:rsidR="00095E6A" w:rsidRPr="00095E6A" w:rsidRDefault="00095E6A" w:rsidP="00B25C1E">
      <w:pPr>
        <w:pStyle w:val="ListParagraph"/>
        <w:numPr>
          <w:ilvl w:val="0"/>
          <w:numId w:val="21"/>
        </w:numPr>
        <w:spacing w:before="240"/>
        <w:rPr>
          <w:rFonts w:eastAsia="Calibri" w:cstheme="minorHAnsi"/>
          <w:lang w:val="en-NZ"/>
        </w:rPr>
      </w:pPr>
      <w:r w:rsidRPr="00095E6A">
        <w:rPr>
          <w:rFonts w:eastAsia="Calibri" w:cstheme="minorHAnsi"/>
          <w:lang w:val="en-NZ"/>
        </w:rPr>
        <w:t>the amount of the contribution levied by the body corporate for that unit</w:t>
      </w:r>
    </w:p>
    <w:p w14:paraId="31247374" w14:textId="77777777" w:rsidR="00095E6A" w:rsidRPr="00095E6A" w:rsidRDefault="00095E6A" w:rsidP="00B25C1E">
      <w:pPr>
        <w:pStyle w:val="ListParagraph"/>
        <w:numPr>
          <w:ilvl w:val="0"/>
          <w:numId w:val="21"/>
        </w:numPr>
        <w:spacing w:before="240"/>
        <w:rPr>
          <w:rFonts w:eastAsia="Calibri" w:cstheme="minorHAnsi"/>
          <w:lang w:val="en-NZ"/>
        </w:rPr>
      </w:pPr>
      <w:r w:rsidRPr="00095E6A">
        <w:rPr>
          <w:rFonts w:eastAsia="Calibri" w:cstheme="minorHAnsi"/>
          <w:lang w:val="en-NZ"/>
        </w:rPr>
        <w:t>the period covered by the contribution</w:t>
      </w:r>
    </w:p>
    <w:p w14:paraId="5E6DF3C5" w14:textId="77777777" w:rsidR="00095E6A" w:rsidRPr="00095E6A" w:rsidRDefault="00095E6A" w:rsidP="00B25C1E">
      <w:pPr>
        <w:pStyle w:val="ListParagraph"/>
        <w:numPr>
          <w:ilvl w:val="0"/>
          <w:numId w:val="21"/>
        </w:numPr>
        <w:spacing w:before="240"/>
        <w:rPr>
          <w:rFonts w:eastAsia="Calibri" w:cstheme="minorHAnsi"/>
          <w:lang w:val="en-NZ"/>
        </w:rPr>
      </w:pPr>
      <w:r w:rsidRPr="00095E6A">
        <w:rPr>
          <w:rFonts w:eastAsia="Calibri" w:cstheme="minorHAnsi"/>
          <w:lang w:val="en-NZ"/>
        </w:rPr>
        <w:t>how the levy is to be paid</w:t>
      </w:r>
    </w:p>
    <w:p w14:paraId="3B2DA31C" w14:textId="77777777" w:rsidR="00095E6A" w:rsidRPr="00095E6A" w:rsidRDefault="00095E6A" w:rsidP="00B25C1E">
      <w:pPr>
        <w:pStyle w:val="ListParagraph"/>
        <w:numPr>
          <w:ilvl w:val="0"/>
          <w:numId w:val="21"/>
        </w:numPr>
        <w:spacing w:before="240"/>
        <w:rPr>
          <w:rFonts w:eastAsia="Calibri" w:cstheme="minorHAnsi"/>
          <w:lang w:val="en-NZ"/>
        </w:rPr>
      </w:pPr>
      <w:r w:rsidRPr="00095E6A">
        <w:rPr>
          <w:rFonts w:eastAsia="Calibri" w:cstheme="minorHAnsi"/>
          <w:lang w:val="en-NZ"/>
        </w:rPr>
        <w:t>the date on or before which the levy must be paid</w:t>
      </w:r>
    </w:p>
    <w:p w14:paraId="60D73B24" w14:textId="77777777" w:rsidR="00095E6A" w:rsidRPr="00095E6A" w:rsidRDefault="00095E6A" w:rsidP="00B25C1E">
      <w:pPr>
        <w:pStyle w:val="ListParagraph"/>
        <w:numPr>
          <w:ilvl w:val="0"/>
          <w:numId w:val="21"/>
        </w:numPr>
        <w:spacing w:before="240"/>
        <w:rPr>
          <w:rFonts w:eastAsia="Calibri" w:cstheme="minorHAnsi"/>
          <w:lang w:val="en-NZ"/>
        </w:rPr>
      </w:pPr>
      <w:r w:rsidRPr="00095E6A">
        <w:rPr>
          <w:rFonts w:eastAsia="Calibri" w:cstheme="minorHAnsi"/>
          <w:lang w:val="en-NZ"/>
        </w:rPr>
        <w:t>whether any amount of the levy is currently unpaid and, if so, how much</w:t>
      </w:r>
    </w:p>
    <w:p w14:paraId="3C04C957" w14:textId="77777777" w:rsidR="00095E6A" w:rsidRPr="00095E6A" w:rsidRDefault="00095E6A" w:rsidP="00B25C1E">
      <w:pPr>
        <w:pStyle w:val="ListParagraph"/>
        <w:numPr>
          <w:ilvl w:val="0"/>
          <w:numId w:val="21"/>
        </w:numPr>
        <w:spacing w:before="240"/>
        <w:rPr>
          <w:rFonts w:eastAsia="Calibri" w:cstheme="minorHAnsi"/>
          <w:lang w:val="en-NZ"/>
        </w:rPr>
      </w:pPr>
      <w:r w:rsidRPr="00095E6A">
        <w:rPr>
          <w:rFonts w:eastAsia="Calibri" w:cstheme="minorHAnsi"/>
          <w:lang w:val="en-NZ"/>
        </w:rPr>
        <w:t>whether legal proceedings have commenced in respect of any unpaid levy</w:t>
      </w:r>
    </w:p>
    <w:p w14:paraId="1EACF2B6" w14:textId="77777777" w:rsidR="00095E6A" w:rsidRPr="00095E6A" w:rsidRDefault="00095E6A" w:rsidP="00B25C1E">
      <w:pPr>
        <w:pStyle w:val="ListParagraph"/>
        <w:numPr>
          <w:ilvl w:val="0"/>
          <w:numId w:val="21"/>
        </w:numPr>
        <w:spacing w:before="240"/>
        <w:rPr>
          <w:rFonts w:eastAsia="Calibri" w:cstheme="minorHAnsi"/>
          <w:lang w:val="en-NZ"/>
        </w:rPr>
      </w:pPr>
      <w:r w:rsidRPr="00095E6A">
        <w:rPr>
          <w:rFonts w:eastAsia="Calibri" w:cstheme="minorHAnsi"/>
          <w:lang w:val="en-NZ"/>
        </w:rPr>
        <w:t>whether any metered charges (</w:t>
      </w:r>
      <w:proofErr w:type="spellStart"/>
      <w:r w:rsidRPr="00095E6A">
        <w:rPr>
          <w:rFonts w:eastAsia="Calibri" w:cstheme="minorHAnsi"/>
          <w:lang w:val="en-NZ"/>
        </w:rPr>
        <w:t>eg</w:t>
      </w:r>
      <w:proofErr w:type="spellEnd"/>
      <w:r w:rsidRPr="00095E6A">
        <w:rPr>
          <w:rFonts w:eastAsia="Calibri" w:cstheme="minorHAnsi"/>
          <w:lang w:val="en-NZ"/>
        </w:rPr>
        <w:t>, for water) are unpaid and, if so, how much</w:t>
      </w:r>
    </w:p>
    <w:p w14:paraId="6BE7FD5E" w14:textId="77777777" w:rsidR="00095E6A" w:rsidRPr="00095E6A" w:rsidRDefault="00095E6A" w:rsidP="00B25C1E">
      <w:pPr>
        <w:pStyle w:val="ListParagraph"/>
        <w:numPr>
          <w:ilvl w:val="0"/>
          <w:numId w:val="21"/>
        </w:numPr>
        <w:spacing w:before="240"/>
        <w:rPr>
          <w:rFonts w:eastAsia="Calibri" w:cstheme="minorHAnsi"/>
          <w:lang w:val="en-NZ"/>
        </w:rPr>
      </w:pPr>
      <w:r w:rsidRPr="00095E6A">
        <w:rPr>
          <w:rFonts w:eastAsia="Calibri" w:cstheme="minorHAnsi"/>
          <w:lang w:val="en-NZ"/>
        </w:rPr>
        <w:t>whether any costs relating to repairs to building elements or infrastructure contained in the unit are unpaid and, if so, how much</w:t>
      </w:r>
    </w:p>
    <w:p w14:paraId="3DEFE367" w14:textId="77777777" w:rsidR="00095E6A" w:rsidRPr="00095E6A" w:rsidRDefault="00095E6A" w:rsidP="00B25C1E">
      <w:pPr>
        <w:pStyle w:val="ListParagraph"/>
        <w:numPr>
          <w:ilvl w:val="0"/>
          <w:numId w:val="21"/>
        </w:numPr>
        <w:spacing w:before="240"/>
        <w:rPr>
          <w:rFonts w:eastAsia="Calibri" w:cstheme="minorHAnsi"/>
          <w:lang w:val="en-NZ"/>
        </w:rPr>
      </w:pPr>
      <w:r w:rsidRPr="00095E6A">
        <w:rPr>
          <w:rFonts w:eastAsia="Calibri" w:cstheme="minorHAnsi"/>
          <w:lang w:val="en-NZ"/>
        </w:rPr>
        <w:t>the rate of interest accruing on any unpaid amounts</w:t>
      </w:r>
    </w:p>
    <w:p w14:paraId="36F3C1C2" w14:textId="77777777" w:rsidR="00095E6A" w:rsidRPr="00095E6A" w:rsidRDefault="00095E6A" w:rsidP="00B25C1E">
      <w:pPr>
        <w:pStyle w:val="ListParagraph"/>
        <w:numPr>
          <w:ilvl w:val="0"/>
          <w:numId w:val="21"/>
        </w:numPr>
        <w:spacing w:before="240"/>
        <w:rPr>
          <w:rFonts w:eastAsia="Calibri" w:cstheme="minorHAnsi"/>
          <w:lang w:val="en-NZ"/>
        </w:rPr>
      </w:pPr>
      <w:r w:rsidRPr="00095E6A">
        <w:rPr>
          <w:rFonts w:eastAsia="Calibri" w:cstheme="minorHAnsi"/>
          <w:lang w:val="en-NZ"/>
        </w:rPr>
        <w:t>whether there are any legal proceedings pending against the body corporate</w:t>
      </w:r>
    </w:p>
    <w:p w14:paraId="405CF310" w14:textId="77777777" w:rsidR="00095E6A" w:rsidRPr="00095E6A" w:rsidRDefault="00095E6A" w:rsidP="00B25C1E">
      <w:pPr>
        <w:pStyle w:val="ListParagraph"/>
        <w:numPr>
          <w:ilvl w:val="0"/>
          <w:numId w:val="21"/>
        </w:numPr>
        <w:spacing w:before="240"/>
        <w:rPr>
          <w:rFonts w:eastAsia="Calibri" w:cstheme="minorHAnsi"/>
          <w:lang w:val="en-NZ"/>
        </w:rPr>
      </w:pPr>
      <w:r w:rsidRPr="00095E6A">
        <w:rPr>
          <w:rFonts w:eastAsia="Calibri" w:cstheme="minorHAnsi"/>
          <w:lang w:val="en-NZ"/>
        </w:rPr>
        <w:t>whether there are any legal proceedings initiated by the body corporate or intended to be initiated by the body corporate</w:t>
      </w:r>
    </w:p>
    <w:p w14:paraId="48E58082" w14:textId="77777777" w:rsidR="00095E6A" w:rsidRPr="00095E6A" w:rsidRDefault="00095E6A" w:rsidP="00B25C1E">
      <w:pPr>
        <w:pStyle w:val="ListParagraph"/>
        <w:numPr>
          <w:ilvl w:val="0"/>
          <w:numId w:val="21"/>
        </w:numPr>
        <w:spacing w:before="240"/>
        <w:rPr>
          <w:rFonts w:eastAsia="Calibri" w:cstheme="minorHAnsi"/>
          <w:lang w:val="en-NZ"/>
        </w:rPr>
      </w:pPr>
      <w:r w:rsidRPr="00095E6A">
        <w:rPr>
          <w:rFonts w:eastAsia="Calibri" w:cstheme="minorHAnsi"/>
          <w:lang w:val="en-NZ"/>
        </w:rPr>
        <w:t>whether there is any written claim by the body corporate against a third party that has not been resolved</w:t>
      </w:r>
    </w:p>
    <w:p w14:paraId="2C2CEB66" w14:textId="5B18B0CF" w:rsidR="00095E6A" w:rsidRPr="00095E6A" w:rsidRDefault="00095E6A" w:rsidP="00B25C1E">
      <w:pPr>
        <w:pStyle w:val="ListParagraph"/>
        <w:numPr>
          <w:ilvl w:val="0"/>
          <w:numId w:val="21"/>
        </w:numPr>
        <w:spacing w:before="240"/>
        <w:rPr>
          <w:rFonts w:eastAsia="Calibri" w:cstheme="minorHAnsi"/>
          <w:lang w:val="en-NZ"/>
        </w:rPr>
      </w:pPr>
      <w:r w:rsidRPr="00095E6A">
        <w:rPr>
          <w:rFonts w:eastAsia="Calibri" w:cstheme="minorHAnsi"/>
          <w:lang w:val="en-NZ"/>
        </w:rPr>
        <w:t>whether there have been any changes to the body corporate rules since the pre-contract disclosure statement was provided.</w:t>
      </w:r>
    </w:p>
    <w:p w14:paraId="531F04D2" w14:textId="77777777" w:rsidR="00095E6A" w:rsidRPr="00095E6A" w:rsidRDefault="00095E6A" w:rsidP="00B25C1E">
      <w:pPr>
        <w:spacing w:before="240" w:after="0"/>
        <w:ind w:left="720"/>
        <w:rPr>
          <w:rFonts w:eastAsia="Calibri" w:cstheme="minorHAnsi"/>
        </w:rPr>
      </w:pPr>
      <w:r w:rsidRPr="00095E6A">
        <w:rPr>
          <w:rFonts w:eastAsia="Calibri" w:cstheme="minorHAnsi"/>
        </w:rPr>
        <w:t xml:space="preserve">There are legal consequences on the seller for failing to provide the pre-settlement disclosure in the timeframes required by the Unit Titles Act 2010 including delay of settlement and cancellation of the contract. </w:t>
      </w:r>
    </w:p>
    <w:p w14:paraId="2E860FDD" w14:textId="2C2FB73E" w:rsidR="00095E6A" w:rsidRDefault="00095E6A" w:rsidP="00B25C1E">
      <w:pPr>
        <w:spacing w:before="240" w:after="0"/>
        <w:ind w:left="720"/>
        <w:rPr>
          <w:rFonts w:eastAsia="Calibri" w:cstheme="minorHAnsi"/>
        </w:rPr>
      </w:pPr>
      <w:r w:rsidRPr="00095E6A">
        <w:rPr>
          <w:rFonts w:eastAsia="Calibri" w:cstheme="minorHAnsi"/>
          <w:b/>
          <w:bCs/>
          <w:u w:val="single"/>
        </w:rPr>
        <w:t>Records of title</w:t>
      </w:r>
      <w:r w:rsidRPr="00095E6A">
        <w:rPr>
          <w:rFonts w:eastAsia="Calibri" w:cstheme="minorHAnsi"/>
        </w:rPr>
        <w:t>.  Previously known as a computer register or certificate of title, for a unit title development this document records the ownership of a unit, contains a legal description of the unit boundaries and records any legal interest which is registered against the title to the unit (for example a mortgage or easement).  A copy of the record of title for a unit should come with:</w:t>
      </w:r>
    </w:p>
    <w:p w14:paraId="74D0681D" w14:textId="77777777" w:rsidR="00095E6A" w:rsidRPr="00095E6A" w:rsidRDefault="00095E6A" w:rsidP="00B25C1E">
      <w:pPr>
        <w:pStyle w:val="ListParagraph"/>
        <w:numPr>
          <w:ilvl w:val="0"/>
          <w:numId w:val="23"/>
        </w:numPr>
        <w:spacing w:before="240"/>
        <w:rPr>
          <w:rFonts w:eastAsia="Calibri" w:cstheme="minorHAnsi"/>
        </w:rPr>
      </w:pPr>
      <w:r w:rsidRPr="00095E6A">
        <w:rPr>
          <w:rFonts w:eastAsia="Calibri" w:cstheme="minorHAnsi"/>
        </w:rPr>
        <w:t>the unit plan attached. Unit title plans were discussed earlier in this section.</w:t>
      </w:r>
    </w:p>
    <w:p w14:paraId="3143F1E6" w14:textId="77777777" w:rsidR="00095E6A" w:rsidRPr="00095E6A" w:rsidRDefault="00095E6A" w:rsidP="00B25C1E">
      <w:pPr>
        <w:pStyle w:val="ListParagraph"/>
        <w:numPr>
          <w:ilvl w:val="0"/>
          <w:numId w:val="23"/>
        </w:numPr>
        <w:spacing w:before="240"/>
        <w:rPr>
          <w:rFonts w:eastAsia="Calibri" w:cstheme="minorHAnsi"/>
        </w:rPr>
      </w:pPr>
      <w:r w:rsidRPr="00095E6A">
        <w:rPr>
          <w:rFonts w:eastAsia="Calibri" w:cstheme="minorHAnsi"/>
        </w:rPr>
        <w:t xml:space="preserve">a supplementary record sheet attached.  A supplementary record sheet records the ownership of the common property, any legal interests registered against the common </w:t>
      </w:r>
      <w:r w:rsidRPr="00095E6A">
        <w:rPr>
          <w:rFonts w:eastAsia="Calibri" w:cstheme="minorHAnsi"/>
        </w:rPr>
        <w:lastRenderedPageBreak/>
        <w:t>property or base land, and other information such as the address for service of the body corporate and the body corporate operational rules.</w:t>
      </w:r>
    </w:p>
    <w:p w14:paraId="2682AC65" w14:textId="77777777" w:rsidR="00095E6A" w:rsidRPr="00095E6A" w:rsidRDefault="00095E6A" w:rsidP="00B25C1E">
      <w:pPr>
        <w:spacing w:before="240" w:after="0"/>
        <w:ind w:left="720"/>
        <w:rPr>
          <w:rFonts w:eastAsia="Calibri" w:cstheme="minorHAnsi"/>
          <w:lang w:val="en-GB"/>
        </w:rPr>
      </w:pPr>
      <w:r w:rsidRPr="00095E6A">
        <w:rPr>
          <w:rFonts w:eastAsia="Calibri" w:cstheme="minorHAnsi"/>
          <w:lang w:val="en-GB"/>
        </w:rPr>
        <w:t xml:space="preserve">The common property in a unit title development does not have a record of title.  </w:t>
      </w:r>
    </w:p>
    <w:p w14:paraId="3D959E17" w14:textId="28B63930" w:rsidR="00095E6A" w:rsidRDefault="00095E6A" w:rsidP="00B25C1E">
      <w:pPr>
        <w:spacing w:before="240" w:after="0"/>
        <w:ind w:left="720"/>
        <w:rPr>
          <w:rFonts w:eastAsia="Calibri" w:cstheme="minorHAnsi"/>
          <w:lang w:val="en-GB"/>
        </w:rPr>
      </w:pPr>
      <w:r w:rsidRPr="00B25C1E">
        <w:rPr>
          <w:rFonts w:eastAsia="Calibri" w:cstheme="minorHAnsi"/>
          <w:b/>
          <w:bCs/>
          <w:u w:val="single"/>
          <w:lang w:val="en-GB"/>
        </w:rPr>
        <w:t>Land Information Memorandum</w:t>
      </w:r>
      <w:r w:rsidRPr="00095E6A">
        <w:rPr>
          <w:rFonts w:eastAsia="Calibri" w:cstheme="minorHAnsi"/>
          <w:lang w:val="en-GB"/>
        </w:rPr>
        <w:t>.  A land information memorandum (LIM) is a report which provides information held by the local council about a particular property.  You must order and pay for a LIM from the applicable local council. Delivery times vary between councils.  The information contained in a LIM will vary between councils, but is likely to include details on:</w:t>
      </w:r>
    </w:p>
    <w:p w14:paraId="0051945A" w14:textId="77777777" w:rsidR="00B25C1E" w:rsidRPr="00B25C1E" w:rsidRDefault="00B25C1E" w:rsidP="00B25C1E">
      <w:pPr>
        <w:pStyle w:val="ListParagraph"/>
        <w:numPr>
          <w:ilvl w:val="0"/>
          <w:numId w:val="24"/>
        </w:numPr>
        <w:spacing w:before="240"/>
        <w:ind w:left="1434" w:hanging="357"/>
        <w:rPr>
          <w:rFonts w:eastAsia="Calibri" w:cstheme="minorHAnsi"/>
          <w:lang w:val="en-GB"/>
        </w:rPr>
      </w:pPr>
      <w:r w:rsidRPr="00B25C1E">
        <w:rPr>
          <w:rFonts w:eastAsia="Calibri" w:cstheme="minorHAnsi"/>
          <w:lang w:val="en-GB"/>
        </w:rPr>
        <w:t>rates information</w:t>
      </w:r>
    </w:p>
    <w:p w14:paraId="54B4E51C" w14:textId="77777777" w:rsidR="00B25C1E" w:rsidRPr="00B25C1E" w:rsidRDefault="00B25C1E" w:rsidP="00B25C1E">
      <w:pPr>
        <w:pStyle w:val="ListParagraph"/>
        <w:numPr>
          <w:ilvl w:val="0"/>
          <w:numId w:val="24"/>
        </w:numPr>
        <w:spacing w:before="240"/>
        <w:ind w:left="1434" w:hanging="357"/>
        <w:rPr>
          <w:rFonts w:eastAsia="Calibri" w:cstheme="minorHAnsi"/>
          <w:lang w:val="en-GB"/>
        </w:rPr>
      </w:pPr>
      <w:r w:rsidRPr="00B25C1E">
        <w:rPr>
          <w:rFonts w:eastAsia="Calibri" w:cstheme="minorHAnsi"/>
          <w:lang w:val="en-GB"/>
        </w:rPr>
        <w:t xml:space="preserve">information on private and public stormwater and sewerage drains </w:t>
      </w:r>
    </w:p>
    <w:p w14:paraId="3AC647A7" w14:textId="77777777" w:rsidR="00B25C1E" w:rsidRPr="00B25C1E" w:rsidRDefault="00B25C1E" w:rsidP="00B25C1E">
      <w:pPr>
        <w:pStyle w:val="ListParagraph"/>
        <w:numPr>
          <w:ilvl w:val="0"/>
          <w:numId w:val="24"/>
        </w:numPr>
        <w:spacing w:before="240"/>
        <w:ind w:left="1434" w:hanging="357"/>
        <w:rPr>
          <w:rFonts w:eastAsia="Calibri" w:cstheme="minorHAnsi"/>
          <w:lang w:val="en-GB"/>
        </w:rPr>
      </w:pPr>
      <w:r w:rsidRPr="00B25C1E">
        <w:rPr>
          <w:rFonts w:eastAsia="Calibri" w:cstheme="minorHAnsi"/>
          <w:lang w:val="en-GB"/>
        </w:rPr>
        <w:t>any consents, notices, orders or requisitions affecting the land or buildings</w:t>
      </w:r>
    </w:p>
    <w:p w14:paraId="63B7A9C8" w14:textId="77777777" w:rsidR="00B25C1E" w:rsidRPr="00B25C1E" w:rsidRDefault="00B25C1E" w:rsidP="00B25C1E">
      <w:pPr>
        <w:pStyle w:val="ListParagraph"/>
        <w:numPr>
          <w:ilvl w:val="0"/>
          <w:numId w:val="24"/>
        </w:numPr>
        <w:spacing w:before="240"/>
        <w:ind w:left="1434" w:hanging="357"/>
        <w:rPr>
          <w:rFonts w:eastAsia="Calibri" w:cstheme="minorHAnsi"/>
          <w:lang w:val="en-GB"/>
        </w:rPr>
      </w:pPr>
      <w:r w:rsidRPr="00B25C1E">
        <w:rPr>
          <w:rFonts w:eastAsia="Calibri" w:cstheme="minorHAnsi"/>
          <w:lang w:val="en-GB"/>
        </w:rPr>
        <w:t>District Plan classifications that relate to the land or buildings</w:t>
      </w:r>
    </w:p>
    <w:p w14:paraId="17F94EE0" w14:textId="77777777" w:rsidR="00B25C1E" w:rsidRPr="00B25C1E" w:rsidRDefault="00B25C1E" w:rsidP="00B25C1E">
      <w:pPr>
        <w:pStyle w:val="ListParagraph"/>
        <w:numPr>
          <w:ilvl w:val="0"/>
          <w:numId w:val="24"/>
        </w:numPr>
        <w:spacing w:before="240"/>
        <w:ind w:left="1434" w:hanging="357"/>
        <w:rPr>
          <w:rFonts w:eastAsia="Calibri" w:cstheme="minorHAnsi"/>
          <w:lang w:val="en-GB"/>
        </w:rPr>
      </w:pPr>
      <w:r w:rsidRPr="00B25C1E">
        <w:rPr>
          <w:rFonts w:eastAsia="Calibri" w:cstheme="minorHAnsi"/>
          <w:lang w:val="en-GB"/>
        </w:rPr>
        <w:t xml:space="preserve">any special feature of the land the local council knows about including the downhill movement, gradual sinking or wearing </w:t>
      </w:r>
      <w:proofErr w:type="spellStart"/>
      <w:r w:rsidRPr="00B25C1E">
        <w:rPr>
          <w:rFonts w:eastAsia="Calibri" w:cstheme="minorHAnsi"/>
          <w:lang w:val="en-GB"/>
        </w:rPr>
        <w:t>away</w:t>
      </w:r>
      <w:proofErr w:type="spellEnd"/>
      <w:r w:rsidRPr="00B25C1E">
        <w:rPr>
          <w:rFonts w:eastAsia="Calibri" w:cstheme="minorHAnsi"/>
          <w:lang w:val="en-GB"/>
        </w:rPr>
        <w:t xml:space="preserve"> of any land, the falling of rock or earth, flooding of any type and possible contamination or hazardous substances</w:t>
      </w:r>
    </w:p>
    <w:p w14:paraId="5253AC75" w14:textId="77777777" w:rsidR="00B25C1E" w:rsidRPr="00B25C1E" w:rsidRDefault="00B25C1E" w:rsidP="00B25C1E">
      <w:pPr>
        <w:pStyle w:val="ListParagraph"/>
        <w:numPr>
          <w:ilvl w:val="0"/>
          <w:numId w:val="24"/>
        </w:numPr>
        <w:spacing w:before="240"/>
        <w:ind w:left="1434" w:hanging="357"/>
        <w:rPr>
          <w:rFonts w:eastAsia="Calibri" w:cstheme="minorHAnsi"/>
          <w:lang w:val="en-GB"/>
        </w:rPr>
      </w:pPr>
      <w:r w:rsidRPr="00B25C1E">
        <w:rPr>
          <w:rFonts w:eastAsia="Calibri" w:cstheme="minorHAnsi"/>
          <w:lang w:val="en-GB"/>
        </w:rPr>
        <w:t>any other information the local council deems relevant</w:t>
      </w:r>
    </w:p>
    <w:p w14:paraId="53819C47" w14:textId="77777777" w:rsidR="00B25C1E" w:rsidRPr="00B25C1E" w:rsidRDefault="00B25C1E" w:rsidP="00B25C1E">
      <w:pPr>
        <w:spacing w:before="240" w:after="0"/>
        <w:ind w:left="720"/>
        <w:rPr>
          <w:rFonts w:eastAsia="Calibri" w:cstheme="minorHAnsi"/>
          <w:lang w:val="en-GB"/>
        </w:rPr>
      </w:pPr>
      <w:r w:rsidRPr="00B25C1E">
        <w:rPr>
          <w:rFonts w:eastAsia="Calibri" w:cstheme="minorHAnsi"/>
          <w:lang w:val="en-GB"/>
        </w:rPr>
        <w:t>Full details of what a local council is obliged to provide in a LIM is contained in section 44A of the Local Government Official Information and Meetings Act 1987.</w:t>
      </w:r>
    </w:p>
    <w:p w14:paraId="182A4F7C" w14:textId="77777777" w:rsidR="00B25C1E" w:rsidRPr="00B25C1E" w:rsidRDefault="00B25C1E" w:rsidP="00B25C1E">
      <w:pPr>
        <w:spacing w:before="240" w:after="0"/>
        <w:ind w:left="720"/>
        <w:rPr>
          <w:rFonts w:eastAsia="Calibri" w:cstheme="minorHAnsi"/>
          <w:lang w:val="en-GB"/>
        </w:rPr>
      </w:pPr>
      <w:r w:rsidRPr="00703C68">
        <w:rPr>
          <w:rFonts w:eastAsia="Calibri" w:cstheme="minorHAnsi"/>
          <w:b/>
          <w:bCs/>
          <w:u w:val="single"/>
          <w:lang w:val="en-GB"/>
        </w:rPr>
        <w:t>Easements and covenants.</w:t>
      </w:r>
      <w:r w:rsidRPr="00B25C1E">
        <w:rPr>
          <w:rFonts w:eastAsia="Calibri" w:cstheme="minorHAnsi"/>
          <w:lang w:val="en-GB"/>
        </w:rPr>
        <w:t xml:space="preserve">  An easement is a right given to a landowner over another person’s property (for example, a right of way, or right to drain water).  A land covenant is an obligation contained in a deed between two parties, usually relating to the use of one or both properties (for example a covenant to restrict one party using their property in a certain way).  </w:t>
      </w:r>
    </w:p>
    <w:p w14:paraId="71BCB855" w14:textId="2486F952" w:rsidR="00B25C1E" w:rsidRDefault="00B25C1E" w:rsidP="00B25C1E">
      <w:pPr>
        <w:spacing w:before="240" w:after="0"/>
        <w:ind w:left="720"/>
        <w:rPr>
          <w:rFonts w:eastAsia="Calibri" w:cstheme="minorHAnsi"/>
          <w:lang w:val="en-GB"/>
        </w:rPr>
      </w:pPr>
      <w:r w:rsidRPr="00B25C1E">
        <w:rPr>
          <w:rFonts w:eastAsia="Calibri" w:cstheme="minorHAnsi"/>
          <w:lang w:val="en-GB"/>
        </w:rPr>
        <w:t>Easements or covenants may apply to:</w:t>
      </w:r>
    </w:p>
    <w:p w14:paraId="46A0CA21" w14:textId="77777777" w:rsidR="00B25C1E" w:rsidRPr="00B25C1E" w:rsidRDefault="00B25C1E" w:rsidP="00B25C1E">
      <w:pPr>
        <w:pStyle w:val="ListParagraph"/>
        <w:numPr>
          <w:ilvl w:val="0"/>
          <w:numId w:val="25"/>
        </w:numPr>
        <w:spacing w:before="240"/>
        <w:rPr>
          <w:rFonts w:eastAsia="Calibri" w:cstheme="minorHAnsi"/>
          <w:lang w:val="en-GB"/>
        </w:rPr>
      </w:pPr>
      <w:r w:rsidRPr="00B25C1E">
        <w:rPr>
          <w:rFonts w:eastAsia="Calibri" w:cstheme="minorHAnsi"/>
          <w:lang w:val="en-GB"/>
        </w:rPr>
        <w:t xml:space="preserve">a unit and are usually recorded on the record of title for that unit.  </w:t>
      </w:r>
    </w:p>
    <w:p w14:paraId="21771C12" w14:textId="77777777" w:rsidR="00B25C1E" w:rsidRPr="00B25C1E" w:rsidRDefault="00B25C1E" w:rsidP="00B25C1E">
      <w:pPr>
        <w:pStyle w:val="ListParagraph"/>
        <w:numPr>
          <w:ilvl w:val="0"/>
          <w:numId w:val="25"/>
        </w:numPr>
        <w:spacing w:before="240"/>
        <w:rPr>
          <w:rFonts w:eastAsia="Calibri" w:cstheme="minorHAnsi"/>
          <w:lang w:val="en-GB"/>
        </w:rPr>
      </w:pPr>
      <w:r w:rsidRPr="00B25C1E">
        <w:rPr>
          <w:rFonts w:eastAsia="Calibri" w:cstheme="minorHAnsi"/>
          <w:lang w:val="en-GB"/>
        </w:rPr>
        <w:t>common property and will be recorded on the supplementary record sheet for the unit title development.</w:t>
      </w:r>
    </w:p>
    <w:p w14:paraId="691782AC" w14:textId="43A755CF" w:rsidR="00B25C1E" w:rsidRDefault="00B25C1E" w:rsidP="00B25C1E">
      <w:pPr>
        <w:spacing w:before="240"/>
        <w:ind w:left="720"/>
        <w:rPr>
          <w:rFonts w:eastAsia="Calibri" w:cstheme="minorHAnsi"/>
          <w:lang w:val="en-GB"/>
        </w:rPr>
      </w:pPr>
      <w:r w:rsidRPr="00B25C1E">
        <w:rPr>
          <w:rFonts w:eastAsia="Calibri" w:cstheme="minorHAnsi"/>
          <w:lang w:val="en-GB"/>
        </w:rPr>
        <w:t>Further information about the matters set out above can be obtained from:</w:t>
      </w:r>
    </w:p>
    <w:tbl>
      <w:tblPr>
        <w:tblStyle w:val="TableGrid"/>
        <w:tblW w:w="0" w:type="auto"/>
        <w:tblInd w:w="720" w:type="dxa"/>
        <w:tblLook w:val="04A0" w:firstRow="1" w:lastRow="0" w:firstColumn="1" w:lastColumn="0" w:noHBand="0" w:noVBand="1"/>
      </w:tblPr>
      <w:tblGrid>
        <w:gridCol w:w="4454"/>
        <w:gridCol w:w="4454"/>
      </w:tblGrid>
      <w:tr w:rsidR="00B25C1E" w14:paraId="5E4CA9C1" w14:textId="77777777" w:rsidTr="00B25C1E">
        <w:tc>
          <w:tcPr>
            <w:tcW w:w="4454" w:type="dxa"/>
          </w:tcPr>
          <w:p w14:paraId="5C9395D2" w14:textId="3D98582B" w:rsidR="00B25C1E" w:rsidRDefault="00B25C1E" w:rsidP="00B25C1E">
            <w:pPr>
              <w:spacing w:before="240" w:after="240"/>
              <w:rPr>
                <w:rFonts w:eastAsia="Calibri" w:cstheme="minorHAnsi"/>
                <w:lang w:val="en-GB"/>
              </w:rPr>
            </w:pPr>
            <w:r w:rsidRPr="002E0B36">
              <w:rPr>
                <w:sz w:val="23"/>
                <w:szCs w:val="23"/>
              </w:rPr>
              <w:t>Unit title property ownership</w:t>
            </w:r>
            <w:r w:rsidRPr="002E0B36">
              <w:rPr>
                <w:sz w:val="23"/>
                <w:szCs w:val="23"/>
              </w:rPr>
              <w:tab/>
            </w:r>
          </w:p>
        </w:tc>
        <w:tc>
          <w:tcPr>
            <w:tcW w:w="4454" w:type="dxa"/>
          </w:tcPr>
          <w:p w14:paraId="187B463C" w14:textId="77777777" w:rsidR="00B25C1E" w:rsidRDefault="00B25C1E" w:rsidP="00B25C1E">
            <w:pPr>
              <w:spacing w:before="240" w:after="240"/>
              <w:rPr>
                <w:sz w:val="23"/>
                <w:szCs w:val="23"/>
              </w:rPr>
            </w:pPr>
            <w:r>
              <w:rPr>
                <w:sz w:val="23"/>
                <w:szCs w:val="23"/>
              </w:rPr>
              <w:t>Ministry of Business, Innovation and Employment</w:t>
            </w:r>
          </w:p>
          <w:p w14:paraId="4C4232C1" w14:textId="77777777" w:rsidR="00B25C1E" w:rsidRPr="002E0B36" w:rsidRDefault="00B25C1E" w:rsidP="00B25C1E">
            <w:pPr>
              <w:spacing w:before="240" w:after="240"/>
              <w:rPr>
                <w:sz w:val="23"/>
                <w:szCs w:val="23"/>
              </w:rPr>
            </w:pPr>
            <w:hyperlink r:id="rId13" w:history="1">
              <w:r w:rsidRPr="009C69D8">
                <w:rPr>
                  <w:rStyle w:val="Hyperlink"/>
                  <w:sz w:val="23"/>
                  <w:szCs w:val="23"/>
                </w:rPr>
                <w:t>www.unittitles.govt.nz</w:t>
              </w:r>
            </w:hyperlink>
          </w:p>
          <w:p w14:paraId="24E773A8" w14:textId="22A1F07B" w:rsidR="00B25C1E" w:rsidRDefault="00B25C1E" w:rsidP="00B25C1E">
            <w:pPr>
              <w:spacing w:before="240" w:after="240"/>
              <w:rPr>
                <w:rFonts w:eastAsia="Calibri" w:cstheme="minorHAnsi"/>
                <w:lang w:val="en-GB"/>
              </w:rPr>
            </w:pPr>
            <w:r w:rsidRPr="002E0B36">
              <w:rPr>
                <w:sz w:val="23"/>
                <w:szCs w:val="23"/>
              </w:rPr>
              <w:t>0800 UNIT TITLES (0800 864 884)</w:t>
            </w:r>
          </w:p>
        </w:tc>
      </w:tr>
      <w:tr w:rsidR="00B25C1E" w14:paraId="62FADADE" w14:textId="77777777" w:rsidTr="00B25C1E">
        <w:tc>
          <w:tcPr>
            <w:tcW w:w="4454" w:type="dxa"/>
          </w:tcPr>
          <w:p w14:paraId="74B82149" w14:textId="77777777" w:rsidR="00B25C1E" w:rsidRPr="002E0B36" w:rsidRDefault="00B25C1E" w:rsidP="00B25C1E">
            <w:pPr>
              <w:spacing w:before="240" w:after="240"/>
              <w:rPr>
                <w:sz w:val="23"/>
                <w:szCs w:val="23"/>
              </w:rPr>
            </w:pPr>
            <w:r w:rsidRPr="002E0B36">
              <w:rPr>
                <w:sz w:val="23"/>
                <w:szCs w:val="23"/>
              </w:rPr>
              <w:t>Unit plan</w:t>
            </w:r>
          </w:p>
          <w:p w14:paraId="56E1EEFF" w14:textId="77777777" w:rsidR="00B25C1E" w:rsidRPr="002E0B36" w:rsidRDefault="00B25C1E" w:rsidP="00B25C1E">
            <w:pPr>
              <w:spacing w:before="240" w:after="240"/>
              <w:rPr>
                <w:sz w:val="23"/>
                <w:szCs w:val="23"/>
              </w:rPr>
            </w:pPr>
            <w:r w:rsidRPr="002E0B36">
              <w:rPr>
                <w:sz w:val="23"/>
                <w:szCs w:val="23"/>
              </w:rPr>
              <w:t>Ownership and utility interests</w:t>
            </w:r>
          </w:p>
          <w:p w14:paraId="349A81AE" w14:textId="77777777" w:rsidR="00B25C1E" w:rsidRPr="002E0B36" w:rsidRDefault="00B25C1E" w:rsidP="00B25C1E">
            <w:pPr>
              <w:spacing w:before="240" w:after="240"/>
              <w:rPr>
                <w:sz w:val="23"/>
                <w:szCs w:val="23"/>
              </w:rPr>
            </w:pPr>
            <w:r>
              <w:rPr>
                <w:sz w:val="23"/>
                <w:szCs w:val="23"/>
              </w:rPr>
              <w:lastRenderedPageBreak/>
              <w:t>Record of title</w:t>
            </w:r>
          </w:p>
          <w:p w14:paraId="6F59929E" w14:textId="266DD045" w:rsidR="00B25C1E" w:rsidRPr="002E0B36" w:rsidRDefault="00B25C1E" w:rsidP="00B25C1E">
            <w:pPr>
              <w:spacing w:before="240" w:after="240"/>
              <w:rPr>
                <w:sz w:val="23"/>
                <w:szCs w:val="23"/>
              </w:rPr>
            </w:pPr>
            <w:r w:rsidRPr="002E0B36">
              <w:rPr>
                <w:sz w:val="23"/>
                <w:szCs w:val="23"/>
              </w:rPr>
              <w:t>Easements and covenants</w:t>
            </w:r>
          </w:p>
        </w:tc>
        <w:tc>
          <w:tcPr>
            <w:tcW w:w="4454" w:type="dxa"/>
          </w:tcPr>
          <w:p w14:paraId="5DDBBBA9" w14:textId="77777777" w:rsidR="00B25C1E" w:rsidRPr="002E0B36" w:rsidRDefault="00B25C1E" w:rsidP="00B25C1E">
            <w:pPr>
              <w:spacing w:before="240" w:after="240"/>
              <w:ind w:left="513" w:hanging="513"/>
              <w:rPr>
                <w:sz w:val="23"/>
                <w:szCs w:val="23"/>
              </w:rPr>
            </w:pPr>
            <w:r w:rsidRPr="002E0B36">
              <w:rPr>
                <w:sz w:val="23"/>
                <w:szCs w:val="23"/>
              </w:rPr>
              <w:lastRenderedPageBreak/>
              <w:t xml:space="preserve">Land Information </w:t>
            </w:r>
            <w:smartTag w:uri="urn:schemas-microsoft-com:office:smarttags" w:element="country-region">
              <w:smartTag w:uri="urn:schemas-microsoft-com:office:smarttags" w:element="place">
                <w:r w:rsidRPr="002E0B36">
                  <w:rPr>
                    <w:sz w:val="23"/>
                    <w:szCs w:val="23"/>
                  </w:rPr>
                  <w:t>New Zealand</w:t>
                </w:r>
              </w:smartTag>
            </w:smartTag>
          </w:p>
          <w:p w14:paraId="51BB1F01" w14:textId="77777777" w:rsidR="00B25C1E" w:rsidRPr="002E0B36" w:rsidRDefault="00B25C1E" w:rsidP="00B25C1E">
            <w:pPr>
              <w:spacing w:before="240" w:after="240"/>
              <w:ind w:left="513" w:hanging="513"/>
              <w:rPr>
                <w:sz w:val="23"/>
                <w:szCs w:val="23"/>
              </w:rPr>
            </w:pPr>
            <w:hyperlink r:id="rId14" w:history="1">
              <w:r w:rsidRPr="009C69D8">
                <w:rPr>
                  <w:rStyle w:val="Hyperlink"/>
                  <w:sz w:val="23"/>
                  <w:szCs w:val="23"/>
                </w:rPr>
                <w:t>www.linz.govt.nz</w:t>
              </w:r>
            </w:hyperlink>
          </w:p>
          <w:p w14:paraId="5A5AA864" w14:textId="12A156B0" w:rsidR="00B25C1E" w:rsidRDefault="00B25C1E" w:rsidP="00B25C1E">
            <w:pPr>
              <w:spacing w:before="240" w:after="240"/>
              <w:rPr>
                <w:sz w:val="23"/>
                <w:szCs w:val="23"/>
              </w:rPr>
            </w:pPr>
            <w:r w:rsidRPr="002E0B36">
              <w:rPr>
                <w:sz w:val="23"/>
                <w:szCs w:val="23"/>
              </w:rPr>
              <w:lastRenderedPageBreak/>
              <w:t>0800 ONLINE (0800 665 463)</w:t>
            </w:r>
          </w:p>
        </w:tc>
      </w:tr>
      <w:tr w:rsidR="00B25C1E" w14:paraId="5A0E872E" w14:textId="77777777" w:rsidTr="00B25C1E">
        <w:tc>
          <w:tcPr>
            <w:tcW w:w="4454" w:type="dxa"/>
          </w:tcPr>
          <w:p w14:paraId="1A568501" w14:textId="77777777" w:rsidR="00B25C1E" w:rsidRPr="002E0B36" w:rsidRDefault="00B25C1E" w:rsidP="00B25C1E">
            <w:pPr>
              <w:spacing w:before="240" w:after="240"/>
              <w:rPr>
                <w:sz w:val="23"/>
                <w:szCs w:val="23"/>
              </w:rPr>
            </w:pPr>
            <w:r w:rsidRPr="002E0B36">
              <w:rPr>
                <w:sz w:val="23"/>
                <w:szCs w:val="23"/>
              </w:rPr>
              <w:lastRenderedPageBreak/>
              <w:t>Body corporate operational rules</w:t>
            </w:r>
          </w:p>
          <w:p w14:paraId="27BCB8FE" w14:textId="3B38FF8A" w:rsidR="00B25C1E" w:rsidRPr="002E0B36" w:rsidRDefault="00B25C1E" w:rsidP="00B25C1E">
            <w:pPr>
              <w:spacing w:before="240" w:after="240"/>
              <w:rPr>
                <w:sz w:val="23"/>
                <w:szCs w:val="23"/>
              </w:rPr>
            </w:pPr>
            <w:r w:rsidRPr="002E0B36">
              <w:rPr>
                <w:sz w:val="23"/>
                <w:szCs w:val="23"/>
              </w:rPr>
              <w:t>Pre-settlement disclosure statement</w:t>
            </w:r>
          </w:p>
        </w:tc>
        <w:tc>
          <w:tcPr>
            <w:tcW w:w="4454" w:type="dxa"/>
          </w:tcPr>
          <w:p w14:paraId="0E11C064" w14:textId="14B03265" w:rsidR="00B25C1E" w:rsidRPr="002E0B36" w:rsidRDefault="00B25C1E" w:rsidP="00B25C1E">
            <w:pPr>
              <w:spacing w:before="240" w:after="240"/>
              <w:rPr>
                <w:sz w:val="23"/>
                <w:szCs w:val="23"/>
              </w:rPr>
            </w:pPr>
            <w:r w:rsidRPr="002E0B36">
              <w:rPr>
                <w:sz w:val="23"/>
                <w:szCs w:val="23"/>
              </w:rPr>
              <w:t>The body corporate</w:t>
            </w:r>
            <w:r>
              <w:rPr>
                <w:sz w:val="23"/>
                <w:szCs w:val="23"/>
              </w:rPr>
              <w:t xml:space="preserve"> of the unit title development</w:t>
            </w:r>
          </w:p>
        </w:tc>
      </w:tr>
      <w:tr w:rsidR="00B25C1E" w14:paraId="51CC7943" w14:textId="77777777" w:rsidTr="00B25C1E">
        <w:tc>
          <w:tcPr>
            <w:tcW w:w="4454" w:type="dxa"/>
          </w:tcPr>
          <w:p w14:paraId="3CEE9E8A" w14:textId="54E83E89" w:rsidR="00B25C1E" w:rsidRPr="002E0B36" w:rsidRDefault="00B25C1E" w:rsidP="00B25C1E">
            <w:pPr>
              <w:spacing w:before="240" w:after="240"/>
              <w:rPr>
                <w:sz w:val="23"/>
                <w:szCs w:val="23"/>
              </w:rPr>
            </w:pPr>
            <w:r>
              <w:rPr>
                <w:sz w:val="23"/>
                <w:szCs w:val="23"/>
              </w:rPr>
              <w:t>Land Information Memorandum</w:t>
            </w:r>
          </w:p>
        </w:tc>
        <w:tc>
          <w:tcPr>
            <w:tcW w:w="4454" w:type="dxa"/>
          </w:tcPr>
          <w:p w14:paraId="2944DC84" w14:textId="6CB3E06A" w:rsidR="00B25C1E" w:rsidRPr="002E0B36" w:rsidRDefault="00B25C1E" w:rsidP="00B25C1E">
            <w:pPr>
              <w:spacing w:before="240" w:after="240"/>
              <w:rPr>
                <w:sz w:val="23"/>
                <w:szCs w:val="23"/>
              </w:rPr>
            </w:pPr>
            <w:r w:rsidRPr="002E0B36">
              <w:rPr>
                <w:sz w:val="23"/>
                <w:szCs w:val="23"/>
              </w:rPr>
              <w:t>Your local council</w:t>
            </w:r>
          </w:p>
        </w:tc>
      </w:tr>
    </w:tbl>
    <w:p w14:paraId="0593B45A" w14:textId="5ADDBFD9" w:rsidR="00B25C1E" w:rsidRPr="00B25C1E" w:rsidRDefault="00B25C1E" w:rsidP="00B25C1E">
      <w:pPr>
        <w:spacing w:before="240"/>
        <w:ind w:left="720"/>
        <w:rPr>
          <w:rFonts w:eastAsia="Calibri" w:cstheme="minorHAnsi"/>
          <w:lang w:val="en-GB"/>
        </w:rPr>
      </w:pPr>
      <w:r w:rsidRPr="00B25C1E">
        <w:rPr>
          <w:rFonts w:eastAsia="Calibri" w:cstheme="minorHAnsi"/>
          <w:lang w:val="en-GB"/>
        </w:rPr>
        <w:t>For detailed information on any of the above matters relating to your specific circumstances, the Ministry of Business, Innovation and Employment recommends you obtain independent legal advice from your lawyer.</w:t>
      </w:r>
    </w:p>
    <w:p w14:paraId="13920E53" w14:textId="22964B90" w:rsidR="00B25C1E" w:rsidRPr="00B25C1E" w:rsidRDefault="00B25C1E" w:rsidP="00B25C1E">
      <w:pPr>
        <w:spacing w:before="240" w:after="0"/>
        <w:rPr>
          <w:rFonts w:eastAsia="Calibri" w:cstheme="minorHAnsi"/>
          <w:sz w:val="28"/>
          <w:szCs w:val="28"/>
        </w:rPr>
      </w:pPr>
      <w:r w:rsidRPr="00B25C1E">
        <w:rPr>
          <w:rFonts w:eastAsia="Calibri" w:cstheme="minorHAnsi"/>
          <w:sz w:val="28"/>
          <w:szCs w:val="28"/>
        </w:rPr>
        <w:t>Corrections</w:t>
      </w:r>
    </w:p>
    <w:p w14:paraId="4EF1D2DC" w14:textId="527E627F" w:rsidR="00B25C1E" w:rsidRPr="00026C1F" w:rsidRDefault="00B25C1E" w:rsidP="00B25C1E">
      <w:pPr>
        <w:pStyle w:val="BodyText"/>
        <w:spacing w:before="240"/>
        <w:ind w:left="720" w:right="19" w:hanging="720"/>
        <w:rPr>
          <w:rFonts w:asciiTheme="minorHAnsi" w:hAnsiTheme="minorHAnsi" w:cstheme="minorHAnsi"/>
          <w:i/>
          <w:iCs/>
          <w:sz w:val="18"/>
          <w:szCs w:val="18"/>
          <w:lang w:val="en-NZ"/>
        </w:rPr>
      </w:pPr>
      <w:r>
        <w:rPr>
          <w:rFonts w:asciiTheme="minorHAnsi" w:hAnsiTheme="minorHAnsi" w:cstheme="minorHAnsi"/>
          <w:lang w:val="en-NZ"/>
        </w:rPr>
        <w:t>2</w:t>
      </w:r>
      <w:r w:rsidR="00703C68">
        <w:rPr>
          <w:rFonts w:asciiTheme="minorHAnsi" w:hAnsiTheme="minorHAnsi" w:cstheme="minorHAnsi"/>
          <w:lang w:val="en-NZ"/>
        </w:rPr>
        <w:t>0</w:t>
      </w:r>
      <w:r w:rsidRPr="00026C1F">
        <w:rPr>
          <w:rFonts w:asciiTheme="minorHAnsi" w:hAnsiTheme="minorHAnsi" w:cstheme="minorHAnsi"/>
          <w:lang w:val="en-NZ"/>
        </w:rPr>
        <w:tab/>
      </w:r>
      <w:r w:rsidRPr="00026C1F">
        <w:rPr>
          <w:rFonts w:asciiTheme="minorHAnsi" w:hAnsiTheme="minorHAnsi" w:cstheme="minorHAnsi"/>
          <w:i/>
          <w:iCs/>
          <w:sz w:val="18"/>
          <w:szCs w:val="18"/>
          <w:lang w:val="en-NZ"/>
        </w:rPr>
        <w:t>Select the statement that applies:</w:t>
      </w:r>
    </w:p>
    <w:tbl>
      <w:tblPr>
        <w:tblStyle w:val="TableGrid"/>
        <w:tblW w:w="0" w:type="auto"/>
        <w:tblLook w:val="04A0" w:firstRow="1" w:lastRow="0" w:firstColumn="1" w:lastColumn="0" w:noHBand="0" w:noVBand="1"/>
      </w:tblPr>
      <w:tblGrid>
        <w:gridCol w:w="720"/>
        <w:gridCol w:w="2824"/>
        <w:gridCol w:w="6084"/>
        <w:gridCol w:w="10"/>
      </w:tblGrid>
      <w:tr w:rsidR="00B25C1E" w:rsidRPr="00026C1F" w14:paraId="6692E167" w14:textId="77777777" w:rsidTr="00FE5A2E">
        <w:trPr>
          <w:gridBefore w:val="1"/>
          <w:wBefore w:w="720" w:type="dxa"/>
        </w:trPr>
        <w:tc>
          <w:tcPr>
            <w:tcW w:w="8918" w:type="dxa"/>
            <w:gridSpan w:val="3"/>
            <w:tcBorders>
              <w:top w:val="nil"/>
              <w:left w:val="nil"/>
              <w:bottom w:val="nil"/>
              <w:right w:val="nil"/>
            </w:tcBorders>
          </w:tcPr>
          <w:p w14:paraId="7B076AA3" w14:textId="790E623A" w:rsidR="00B25C1E" w:rsidRPr="00026C1F" w:rsidRDefault="00B25C1E" w:rsidP="00FE5A2E">
            <w:pPr>
              <w:pStyle w:val="BodyText"/>
              <w:spacing w:before="240"/>
              <w:ind w:left="397" w:right="17" w:hanging="397"/>
              <w:rPr>
                <w:rFonts w:asciiTheme="minorHAnsi" w:hAnsiTheme="minorHAnsi" w:cstheme="minorHAnsi"/>
                <w:lang w:val="en-NZ"/>
              </w:rPr>
            </w:pPr>
            <w:r w:rsidRPr="00026C1F">
              <w:rPr>
                <w:rFonts w:asciiTheme="minorHAnsi" w:hAnsiTheme="minorHAnsi" w:cstheme="minorHAnsi"/>
                <w:bdr w:val="single" w:sz="4" w:space="0" w:color="auto"/>
                <w:lang w:val="en-NZ"/>
              </w:rPr>
              <w:t xml:space="preserve">  </w:t>
            </w:r>
            <w:r w:rsidR="00FE5A2E">
              <w:rPr>
                <w:rFonts w:asciiTheme="minorHAnsi" w:hAnsiTheme="minorHAnsi" w:cstheme="minorHAnsi"/>
                <w:bdr w:val="single" w:sz="4" w:space="0" w:color="auto"/>
                <w:lang w:val="en-NZ"/>
              </w:rPr>
              <w:t>x</w:t>
            </w:r>
            <w:r w:rsidRPr="00026C1F">
              <w:rPr>
                <w:rFonts w:asciiTheme="minorHAnsi" w:hAnsiTheme="minorHAnsi" w:cstheme="minorHAnsi"/>
                <w:bdr w:val="single" w:sz="4" w:space="0" w:color="auto"/>
                <w:lang w:val="en-NZ"/>
              </w:rPr>
              <w:t xml:space="preserve">   </w:t>
            </w:r>
            <w:r w:rsidRPr="00026C1F">
              <w:rPr>
                <w:rFonts w:asciiTheme="minorHAnsi" w:hAnsiTheme="minorHAnsi" w:cstheme="minorHAnsi"/>
                <w:lang w:val="en-NZ"/>
              </w:rPr>
              <w:t xml:space="preserve">  </w:t>
            </w:r>
            <w:r w:rsidRPr="00B25C1E">
              <w:rPr>
                <w:rFonts w:asciiTheme="minorHAnsi" w:hAnsiTheme="minorHAnsi" w:cstheme="minorHAnsi"/>
                <w:lang w:val="en-NZ"/>
              </w:rPr>
              <w:t>This disclosure statement, including any additional information that forms part of this disclosure, does not have any known inaccuracies.</w:t>
            </w:r>
          </w:p>
        </w:tc>
      </w:tr>
      <w:tr w:rsidR="00EF1E8B" w:rsidRPr="00026C1F" w14:paraId="71C16F3F" w14:textId="77777777" w:rsidTr="00FE5A2E">
        <w:tblPrEx>
          <w:tblBorders>
            <w:left w:val="none" w:sz="0" w:space="0" w:color="auto"/>
            <w:right w:val="none" w:sz="0" w:space="0" w:color="auto"/>
            <w:insideV w:val="none" w:sz="0" w:space="0" w:color="auto"/>
          </w:tblBorders>
        </w:tblPrEx>
        <w:trPr>
          <w:gridAfter w:val="1"/>
          <w:wAfter w:w="10" w:type="dxa"/>
        </w:trPr>
        <w:tc>
          <w:tcPr>
            <w:tcW w:w="3544" w:type="dxa"/>
            <w:gridSpan w:val="2"/>
            <w:tcBorders>
              <w:bottom w:val="nil"/>
              <w:right w:val="single" w:sz="4" w:space="0" w:color="auto"/>
            </w:tcBorders>
          </w:tcPr>
          <w:p w14:paraId="612EFA1A" w14:textId="08E3C75D" w:rsidR="00EF1E8B" w:rsidRPr="00026C1F" w:rsidRDefault="00EF1E8B" w:rsidP="00EF1E8B">
            <w:pPr>
              <w:pStyle w:val="BodyText"/>
              <w:spacing w:before="240" w:after="240"/>
              <w:ind w:right="17"/>
              <w:rPr>
                <w:rFonts w:cs="Calibri"/>
                <w:lang w:val="en-NZ"/>
              </w:rPr>
            </w:pPr>
            <w:r>
              <w:rPr>
                <w:rFonts w:cs="Calibri"/>
                <w:lang w:val="en-NZ"/>
              </w:rPr>
              <w:t>Signed by seller or person authorised by seller:</w:t>
            </w:r>
          </w:p>
        </w:tc>
        <w:tc>
          <w:tcPr>
            <w:tcW w:w="6084" w:type="dxa"/>
            <w:tcBorders>
              <w:left w:val="single" w:sz="4" w:space="0" w:color="auto"/>
            </w:tcBorders>
          </w:tcPr>
          <w:p w14:paraId="623DA3CA" w14:textId="115BA9FF" w:rsidR="00EF1E8B" w:rsidRPr="00EF1E8B" w:rsidRDefault="00FE5A2E" w:rsidP="00EF1E8B">
            <w:pPr>
              <w:pStyle w:val="BodyText"/>
              <w:spacing w:before="240" w:after="240"/>
              <w:ind w:right="17"/>
              <w:rPr>
                <w:rFonts w:asciiTheme="minorHAnsi" w:hAnsiTheme="minorHAnsi" w:cstheme="minorHAnsi"/>
                <w:lang w:val="en-NZ"/>
              </w:rPr>
            </w:pPr>
            <w:r>
              <w:rPr>
                <w:rFonts w:asciiTheme="minorHAnsi" w:hAnsiTheme="minorHAnsi" w:cstheme="minorHAnsi"/>
                <w:noProof/>
                <w:lang w:val="en-NZ"/>
              </w:rPr>
              <w:drawing>
                <wp:inline distT="0" distB="0" distL="0" distR="0" wp14:anchorId="0495690B" wp14:editId="2CE2565F">
                  <wp:extent cx="3102874" cy="1658118"/>
                  <wp:effectExtent l="0" t="0" r="2540" b="0"/>
                  <wp:docPr id="622092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092565" name="Picture 622092565"/>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102874" cy="1658118"/>
                          </a:xfrm>
                          <a:prstGeom prst="rect">
                            <a:avLst/>
                          </a:prstGeom>
                        </pic:spPr>
                      </pic:pic>
                    </a:graphicData>
                  </a:graphic>
                </wp:inline>
              </w:drawing>
            </w:r>
          </w:p>
        </w:tc>
      </w:tr>
      <w:tr w:rsidR="00EF1E8B" w:rsidRPr="00026C1F" w14:paraId="24DC1670" w14:textId="77777777" w:rsidTr="00FE5A2E">
        <w:tblPrEx>
          <w:tblBorders>
            <w:left w:val="none" w:sz="0" w:space="0" w:color="auto"/>
            <w:right w:val="none" w:sz="0" w:space="0" w:color="auto"/>
            <w:insideV w:val="none" w:sz="0" w:space="0" w:color="auto"/>
          </w:tblBorders>
        </w:tblPrEx>
        <w:trPr>
          <w:gridAfter w:val="1"/>
          <w:wAfter w:w="10" w:type="dxa"/>
        </w:trPr>
        <w:tc>
          <w:tcPr>
            <w:tcW w:w="3544" w:type="dxa"/>
            <w:gridSpan w:val="2"/>
            <w:tcBorders>
              <w:top w:val="nil"/>
              <w:bottom w:val="nil"/>
              <w:right w:val="single" w:sz="4" w:space="0" w:color="auto"/>
            </w:tcBorders>
          </w:tcPr>
          <w:p w14:paraId="24D5AF30" w14:textId="4DA96994" w:rsidR="00EF1E8B" w:rsidRPr="00026C1F" w:rsidRDefault="00EF1E8B" w:rsidP="00EF1E8B">
            <w:pPr>
              <w:pStyle w:val="BodyText"/>
              <w:spacing w:before="240" w:after="240"/>
              <w:ind w:right="17"/>
              <w:rPr>
                <w:rFonts w:cs="Calibri"/>
                <w:lang w:val="en-NZ"/>
              </w:rPr>
            </w:pPr>
            <w:r>
              <w:rPr>
                <w:rFonts w:cs="Calibri"/>
                <w:lang w:val="en-NZ"/>
              </w:rPr>
              <w:t>Name</w:t>
            </w:r>
            <w:r w:rsidRPr="00026C1F">
              <w:rPr>
                <w:rFonts w:cs="Calibri"/>
                <w:lang w:val="en-NZ"/>
              </w:rPr>
              <w:t>:</w:t>
            </w:r>
          </w:p>
        </w:tc>
        <w:tc>
          <w:tcPr>
            <w:tcW w:w="6084" w:type="dxa"/>
            <w:tcBorders>
              <w:left w:val="single" w:sz="4" w:space="0" w:color="auto"/>
            </w:tcBorders>
          </w:tcPr>
          <w:p w14:paraId="34AE7C1C" w14:textId="439B8ACC" w:rsidR="00EF1E8B" w:rsidRPr="00026C1F" w:rsidRDefault="00FE5A2E" w:rsidP="00EF1E8B">
            <w:pPr>
              <w:pStyle w:val="BodyText"/>
              <w:spacing w:before="240" w:after="240"/>
              <w:ind w:right="17"/>
              <w:rPr>
                <w:rFonts w:asciiTheme="minorHAnsi" w:hAnsiTheme="minorHAnsi" w:cstheme="minorHAnsi"/>
                <w:lang w:val="en-NZ"/>
              </w:rPr>
            </w:pPr>
            <w:r>
              <w:rPr>
                <w:rFonts w:asciiTheme="minorHAnsi" w:hAnsiTheme="minorHAnsi" w:cstheme="minorHAnsi"/>
                <w:lang w:val="en-NZ"/>
              </w:rPr>
              <w:t>Clare Doyle</w:t>
            </w:r>
          </w:p>
        </w:tc>
      </w:tr>
      <w:tr w:rsidR="00EF1E8B" w:rsidRPr="00026C1F" w14:paraId="2A727767" w14:textId="77777777" w:rsidTr="00FE5A2E">
        <w:tblPrEx>
          <w:tblBorders>
            <w:left w:val="none" w:sz="0" w:space="0" w:color="auto"/>
            <w:right w:val="none" w:sz="0" w:space="0" w:color="auto"/>
            <w:insideV w:val="none" w:sz="0" w:space="0" w:color="auto"/>
          </w:tblBorders>
        </w:tblPrEx>
        <w:trPr>
          <w:gridAfter w:val="1"/>
          <w:wAfter w:w="10" w:type="dxa"/>
        </w:trPr>
        <w:tc>
          <w:tcPr>
            <w:tcW w:w="3544" w:type="dxa"/>
            <w:gridSpan w:val="2"/>
            <w:tcBorders>
              <w:top w:val="nil"/>
              <w:right w:val="single" w:sz="4" w:space="0" w:color="auto"/>
            </w:tcBorders>
          </w:tcPr>
          <w:p w14:paraId="2A559F7B" w14:textId="54082835" w:rsidR="00EF1E8B" w:rsidRPr="00026C1F" w:rsidRDefault="00EF1E8B" w:rsidP="00EF1E8B">
            <w:pPr>
              <w:pStyle w:val="BodyText"/>
              <w:spacing w:before="240" w:after="240"/>
              <w:ind w:right="17"/>
              <w:rPr>
                <w:rFonts w:cs="Calibri"/>
                <w:lang w:val="en-NZ"/>
              </w:rPr>
            </w:pPr>
            <w:r>
              <w:rPr>
                <w:rFonts w:cs="Calibri"/>
                <w:lang w:val="en-NZ"/>
              </w:rPr>
              <w:t>Date</w:t>
            </w:r>
            <w:r w:rsidRPr="00026C1F">
              <w:rPr>
                <w:rFonts w:cs="Calibri"/>
                <w:lang w:val="en-NZ"/>
              </w:rPr>
              <w:t>:</w:t>
            </w:r>
          </w:p>
        </w:tc>
        <w:tc>
          <w:tcPr>
            <w:tcW w:w="6084" w:type="dxa"/>
            <w:tcBorders>
              <w:left w:val="single" w:sz="4" w:space="0" w:color="auto"/>
            </w:tcBorders>
          </w:tcPr>
          <w:p w14:paraId="31D3EE87" w14:textId="33944392" w:rsidR="00EF1E8B" w:rsidRPr="00026C1F" w:rsidRDefault="00EF1E8B" w:rsidP="00EF1E8B">
            <w:pPr>
              <w:pStyle w:val="BodyText"/>
              <w:spacing w:before="240" w:after="240"/>
              <w:ind w:right="17"/>
              <w:rPr>
                <w:rFonts w:asciiTheme="minorHAnsi" w:hAnsiTheme="minorHAnsi" w:cstheme="minorHAnsi"/>
                <w:lang w:val="en-NZ"/>
              </w:rPr>
            </w:pPr>
            <w:r w:rsidRPr="00026C1F">
              <w:rPr>
                <w:rFonts w:asciiTheme="minorHAnsi" w:hAnsiTheme="minorHAnsi" w:cstheme="minorHAnsi"/>
                <w:lang w:val="en-NZ"/>
              </w:rPr>
              <w:t xml:space="preserve"> </w:t>
            </w:r>
            <w:r w:rsidR="00FE5A2E">
              <w:rPr>
                <w:rFonts w:asciiTheme="minorHAnsi" w:hAnsiTheme="minorHAnsi" w:cstheme="minorHAnsi"/>
                <w:lang w:val="en-NZ"/>
              </w:rPr>
              <w:t>24 Sep 2025</w:t>
            </w:r>
          </w:p>
        </w:tc>
      </w:tr>
    </w:tbl>
    <w:p w14:paraId="0AF8F970" w14:textId="16790718" w:rsidR="00B25C1E" w:rsidRDefault="00B25C1E" w:rsidP="00B25C1E">
      <w:pPr>
        <w:spacing w:before="240" w:after="0"/>
        <w:rPr>
          <w:rFonts w:eastAsia="Calibri" w:cstheme="minorHAnsi"/>
        </w:rPr>
      </w:pPr>
    </w:p>
    <w:p w14:paraId="3C11E894" w14:textId="26042E9F" w:rsidR="007C5DB4" w:rsidRPr="007C5DB4" w:rsidRDefault="007C5DB4" w:rsidP="00B25C1E">
      <w:pPr>
        <w:spacing w:before="240" w:after="0"/>
        <w:rPr>
          <w:rFonts w:eastAsia="Calibri" w:cstheme="minorHAnsi"/>
          <w:i/>
          <w:sz w:val="16"/>
          <w:szCs w:val="16"/>
        </w:rPr>
      </w:pPr>
      <w:r w:rsidRPr="007C5DB4">
        <w:rPr>
          <w:i/>
          <w:sz w:val="18"/>
          <w:szCs w:val="18"/>
        </w:rPr>
        <w:t>This form has been created by the Ministry of Business, Innovation and Employment as an example of a pre-contract disclosure statement that complies with the requirements of regulation 33(1) The information contained in the form is intended as an example of how these sections may be completed, and the specific wording used is not a requirement of the Unit Titles Regulations 2011.</w:t>
      </w:r>
    </w:p>
    <w:sectPr w:rsidR="007C5DB4" w:rsidRPr="007C5DB4" w:rsidSect="00A97F41">
      <w:type w:val="continuous"/>
      <w:pgSz w:w="11906" w:h="16838"/>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3A972" w14:textId="77777777" w:rsidR="00F97A91" w:rsidRDefault="00F97A91">
      <w:pPr>
        <w:spacing w:before="0" w:after="0" w:line="240" w:lineRule="auto"/>
      </w:pPr>
      <w:r>
        <w:separator/>
      </w:r>
    </w:p>
  </w:endnote>
  <w:endnote w:type="continuationSeparator" w:id="0">
    <w:p w14:paraId="31833253" w14:textId="77777777" w:rsidR="00F97A91" w:rsidRDefault="00F97A9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20071722"/>
      <w:docPartObj>
        <w:docPartGallery w:val="Page Numbers (Bottom of Page)"/>
        <w:docPartUnique/>
      </w:docPartObj>
    </w:sdtPr>
    <w:sdtContent>
      <w:p w14:paraId="3BDA33AA" w14:textId="77777777" w:rsidR="00CE47A3" w:rsidRDefault="00CE47A3" w:rsidP="007F1FD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FCE65C" w14:textId="77777777" w:rsidR="00CE47A3" w:rsidRDefault="00CE47A3" w:rsidP="00CE47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5178647"/>
      <w:docPartObj>
        <w:docPartGallery w:val="Page Numbers (Bottom of Page)"/>
        <w:docPartUnique/>
      </w:docPartObj>
    </w:sdtPr>
    <w:sdtContent>
      <w:p w14:paraId="1C1514D7" w14:textId="77777777" w:rsidR="00CE47A3" w:rsidRDefault="00CE47A3" w:rsidP="007F1FD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FCD386C" w14:textId="2D252085" w:rsidR="00CE47A3" w:rsidRDefault="00CE47A3" w:rsidP="00CE47A3">
    <w:pPr>
      <w:pStyle w:val="Footer"/>
      <w:ind w:right="360"/>
    </w:pPr>
    <w:r>
      <w:rPr>
        <w:noProof/>
      </w:rPr>
      <mc:AlternateContent>
        <mc:Choice Requires="wps">
          <w:drawing>
            <wp:anchor distT="0" distB="0" distL="114300" distR="114300" simplePos="0" relativeHeight="251669504" behindDoc="0" locked="0" layoutInCell="1" allowOverlap="1" wp14:anchorId="2EDA556D" wp14:editId="090C0846">
              <wp:simplePos x="0" y="0"/>
              <wp:positionH relativeFrom="column">
                <wp:posOffset>-18341</wp:posOffset>
              </wp:positionH>
              <wp:positionV relativeFrom="paragraph">
                <wp:posOffset>-59971</wp:posOffset>
              </wp:positionV>
              <wp:extent cx="6209414" cy="0"/>
              <wp:effectExtent l="0" t="0" r="13970" b="12700"/>
              <wp:wrapNone/>
              <wp:docPr id="8" name="Straight Connector 8"/>
              <wp:cNvGraphicFramePr/>
              <a:graphic xmlns:a="http://schemas.openxmlformats.org/drawingml/2006/main">
                <a:graphicData uri="http://schemas.microsoft.com/office/word/2010/wordprocessingShape">
                  <wps:wsp>
                    <wps:cNvCnPr/>
                    <wps:spPr>
                      <a:xfrm>
                        <a:off x="0" y="0"/>
                        <a:ext cx="6209414"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EF4EFF" id="Straight Connector 8"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45pt,-4.7pt" to="487.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" strokecolor="black [3213]" strokeweight=".5pt"/>
          </w:pict>
        </mc:Fallback>
      </mc:AlternateContent>
    </w:r>
    <w:r w:rsidR="004F11C9">
      <w:t>Pre-contract disclosure statement for existing units</w:t>
    </w:r>
    <w:r>
      <w:tab/>
    </w:r>
  </w:p>
  <w:p w14:paraId="2EFA698B" w14:textId="77777777" w:rsidR="007F3458" w:rsidRPr="001D6D20" w:rsidRDefault="007F3458" w:rsidP="00FF0361">
    <w:pPr>
      <w:pStyle w:val="Footer"/>
      <w:rPr>
        <w:b/>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7F256" w14:textId="77777777" w:rsidR="00F97A91" w:rsidRDefault="00F97A91">
      <w:pPr>
        <w:spacing w:before="0" w:after="0" w:line="240" w:lineRule="auto"/>
      </w:pPr>
      <w:r>
        <w:separator/>
      </w:r>
    </w:p>
  </w:footnote>
  <w:footnote w:type="continuationSeparator" w:id="0">
    <w:p w14:paraId="508120C0" w14:textId="77777777" w:rsidR="00F97A91" w:rsidRDefault="00F97A9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710A0" w14:textId="77777777" w:rsidR="00E9303B" w:rsidRDefault="00E9303B" w:rsidP="00CF4700">
    <w:pPr>
      <w:pStyle w:val="Header"/>
      <w:rPr>
        <w:noProof/>
        <w:lang w:eastAsia="en-NZ"/>
      </w:rPr>
    </w:pPr>
  </w:p>
  <w:p w14:paraId="3305A876" w14:textId="77777777" w:rsidR="00CF4700" w:rsidRDefault="00CF4700" w:rsidP="00CF4700">
    <w:pPr>
      <w:pStyle w:val="Header"/>
    </w:pPr>
  </w:p>
  <w:p w14:paraId="7B1C84A4" w14:textId="77777777" w:rsidR="00CF4700" w:rsidRDefault="00CF4700" w:rsidP="00835B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DC3459A0"/>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13504E68"/>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E1D07688"/>
    <w:lvl w:ilvl="0">
      <w:start w:val="1"/>
      <w:numFmt w:val="bullet"/>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54E0756C"/>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FBFCC050"/>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D11EF1C8"/>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80E38D8"/>
    <w:multiLevelType w:val="hybridMultilevel"/>
    <w:tmpl w:val="0FBC255C"/>
    <w:lvl w:ilvl="0" w:tplc="A24A7150">
      <w:start w:val="1"/>
      <w:numFmt w:val="decimal"/>
      <w:lvlText w:val="%1."/>
      <w:lvlJc w:val="left"/>
      <w:pPr>
        <w:ind w:left="460" w:hanging="360"/>
      </w:pPr>
    </w:lvl>
    <w:lvl w:ilvl="1" w:tplc="958E1752" w:tentative="1">
      <w:start w:val="1"/>
      <w:numFmt w:val="lowerLetter"/>
      <w:lvlText w:val="%2."/>
      <w:lvlJc w:val="left"/>
      <w:pPr>
        <w:ind w:left="1180" w:hanging="360"/>
      </w:pPr>
    </w:lvl>
    <w:lvl w:ilvl="2" w:tplc="F9363C78" w:tentative="1">
      <w:start w:val="1"/>
      <w:numFmt w:val="lowerRoman"/>
      <w:lvlText w:val="%3."/>
      <w:lvlJc w:val="right"/>
      <w:pPr>
        <w:ind w:left="1900" w:hanging="180"/>
      </w:pPr>
    </w:lvl>
    <w:lvl w:ilvl="3" w:tplc="306ADA02" w:tentative="1">
      <w:start w:val="1"/>
      <w:numFmt w:val="decimal"/>
      <w:lvlText w:val="%4."/>
      <w:lvlJc w:val="left"/>
      <w:pPr>
        <w:ind w:left="2620" w:hanging="360"/>
      </w:pPr>
    </w:lvl>
    <w:lvl w:ilvl="4" w:tplc="311E98C2" w:tentative="1">
      <w:start w:val="1"/>
      <w:numFmt w:val="lowerLetter"/>
      <w:lvlText w:val="%5."/>
      <w:lvlJc w:val="left"/>
      <w:pPr>
        <w:ind w:left="3340" w:hanging="360"/>
      </w:pPr>
    </w:lvl>
    <w:lvl w:ilvl="5" w:tplc="CCA69838" w:tentative="1">
      <w:start w:val="1"/>
      <w:numFmt w:val="lowerRoman"/>
      <w:lvlText w:val="%6."/>
      <w:lvlJc w:val="right"/>
      <w:pPr>
        <w:ind w:left="4060" w:hanging="180"/>
      </w:pPr>
    </w:lvl>
    <w:lvl w:ilvl="6" w:tplc="2D0EC724" w:tentative="1">
      <w:start w:val="1"/>
      <w:numFmt w:val="decimal"/>
      <w:lvlText w:val="%7."/>
      <w:lvlJc w:val="left"/>
      <w:pPr>
        <w:ind w:left="4780" w:hanging="360"/>
      </w:pPr>
    </w:lvl>
    <w:lvl w:ilvl="7" w:tplc="5540D276" w:tentative="1">
      <w:start w:val="1"/>
      <w:numFmt w:val="lowerLetter"/>
      <w:lvlText w:val="%8."/>
      <w:lvlJc w:val="left"/>
      <w:pPr>
        <w:ind w:left="5500" w:hanging="360"/>
      </w:pPr>
    </w:lvl>
    <w:lvl w:ilvl="8" w:tplc="B162AFA6" w:tentative="1">
      <w:start w:val="1"/>
      <w:numFmt w:val="lowerRoman"/>
      <w:lvlText w:val="%9."/>
      <w:lvlJc w:val="right"/>
      <w:pPr>
        <w:ind w:left="6220" w:hanging="180"/>
      </w:pPr>
    </w:lvl>
  </w:abstractNum>
  <w:abstractNum w:abstractNumId="7" w15:restartNumberingAfterBreak="0">
    <w:nsid w:val="16A02F88"/>
    <w:multiLevelType w:val="hybridMultilevel"/>
    <w:tmpl w:val="7626F7CC"/>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8" w15:restartNumberingAfterBreak="0">
    <w:nsid w:val="17EE3610"/>
    <w:multiLevelType w:val="hybridMultilevel"/>
    <w:tmpl w:val="61324B64"/>
    <w:lvl w:ilvl="0" w:tplc="FD4C16E6">
      <w:numFmt w:val="bullet"/>
      <w:pStyle w:val="ListBullet"/>
      <w:lvlText w:val=""/>
      <w:lvlJc w:val="left"/>
      <w:pPr>
        <w:ind w:left="1070" w:hanging="360"/>
      </w:pPr>
      <w:rPr>
        <w:rFonts w:ascii="Symbol" w:eastAsiaTheme="minorHAnsi" w:hAnsi="Symbol" w:cstheme="minorBidi" w:hint="default"/>
      </w:rPr>
    </w:lvl>
    <w:lvl w:ilvl="1" w:tplc="CF5C92E2">
      <w:start w:val="1"/>
      <w:numFmt w:val="bullet"/>
      <w:pStyle w:val="ListBullet2"/>
      <w:lvlText w:val="○"/>
      <w:lvlJc w:val="left"/>
      <w:pPr>
        <w:ind w:left="1440" w:hanging="360"/>
      </w:pPr>
      <w:rPr>
        <w:rFonts w:ascii="Courier New" w:hAnsi="Courier New" w:hint="default"/>
      </w:rPr>
    </w:lvl>
    <w:lvl w:ilvl="2" w:tplc="4FCEFD4E">
      <w:start w:val="1"/>
      <w:numFmt w:val="bullet"/>
      <w:pStyle w:val="ListBullet3"/>
      <w:lvlText w:val="○"/>
      <w:lvlJc w:val="left"/>
      <w:pPr>
        <w:ind w:left="2160" w:hanging="360"/>
      </w:pPr>
      <w:rPr>
        <w:rFonts w:ascii="Courier New" w:hAnsi="Courier New" w:hint="default"/>
      </w:rPr>
    </w:lvl>
    <w:lvl w:ilvl="3" w:tplc="5AE8D898" w:tentative="1">
      <w:start w:val="1"/>
      <w:numFmt w:val="bullet"/>
      <w:lvlText w:val=""/>
      <w:lvlJc w:val="left"/>
      <w:pPr>
        <w:ind w:left="2880" w:hanging="360"/>
      </w:pPr>
      <w:rPr>
        <w:rFonts w:ascii="Symbol" w:hAnsi="Symbol" w:hint="default"/>
      </w:rPr>
    </w:lvl>
    <w:lvl w:ilvl="4" w:tplc="F3E8A988" w:tentative="1">
      <w:start w:val="1"/>
      <w:numFmt w:val="bullet"/>
      <w:lvlText w:val="o"/>
      <w:lvlJc w:val="left"/>
      <w:pPr>
        <w:ind w:left="3600" w:hanging="360"/>
      </w:pPr>
      <w:rPr>
        <w:rFonts w:ascii="Courier New" w:hAnsi="Courier New" w:cs="Courier New" w:hint="default"/>
      </w:rPr>
    </w:lvl>
    <w:lvl w:ilvl="5" w:tplc="76BEE306" w:tentative="1">
      <w:start w:val="1"/>
      <w:numFmt w:val="bullet"/>
      <w:lvlText w:val=""/>
      <w:lvlJc w:val="left"/>
      <w:pPr>
        <w:ind w:left="4320" w:hanging="360"/>
      </w:pPr>
      <w:rPr>
        <w:rFonts w:ascii="Wingdings" w:hAnsi="Wingdings" w:hint="default"/>
      </w:rPr>
    </w:lvl>
    <w:lvl w:ilvl="6" w:tplc="1A20B7B0" w:tentative="1">
      <w:start w:val="1"/>
      <w:numFmt w:val="bullet"/>
      <w:lvlText w:val=""/>
      <w:lvlJc w:val="left"/>
      <w:pPr>
        <w:ind w:left="5040" w:hanging="360"/>
      </w:pPr>
      <w:rPr>
        <w:rFonts w:ascii="Symbol" w:hAnsi="Symbol" w:hint="default"/>
      </w:rPr>
    </w:lvl>
    <w:lvl w:ilvl="7" w:tplc="69A8A996" w:tentative="1">
      <w:start w:val="1"/>
      <w:numFmt w:val="bullet"/>
      <w:lvlText w:val="o"/>
      <w:lvlJc w:val="left"/>
      <w:pPr>
        <w:ind w:left="5760" w:hanging="360"/>
      </w:pPr>
      <w:rPr>
        <w:rFonts w:ascii="Courier New" w:hAnsi="Courier New" w:cs="Courier New" w:hint="default"/>
      </w:rPr>
    </w:lvl>
    <w:lvl w:ilvl="8" w:tplc="50B21E98" w:tentative="1">
      <w:start w:val="1"/>
      <w:numFmt w:val="bullet"/>
      <w:lvlText w:val=""/>
      <w:lvlJc w:val="left"/>
      <w:pPr>
        <w:ind w:left="6480" w:hanging="360"/>
      </w:pPr>
      <w:rPr>
        <w:rFonts w:ascii="Wingdings" w:hAnsi="Wingdings" w:hint="default"/>
      </w:rPr>
    </w:lvl>
  </w:abstractNum>
  <w:abstractNum w:abstractNumId="9" w15:restartNumberingAfterBreak="0">
    <w:nsid w:val="18856A76"/>
    <w:multiLevelType w:val="hybridMultilevel"/>
    <w:tmpl w:val="ECFC0A2A"/>
    <w:lvl w:ilvl="0" w:tplc="192C01AC">
      <w:start w:val="1"/>
      <w:numFmt w:val="decimal"/>
      <w:lvlText w:val="%1."/>
      <w:lvlJc w:val="left"/>
      <w:pPr>
        <w:ind w:left="461" w:hanging="360"/>
      </w:pPr>
    </w:lvl>
    <w:lvl w:ilvl="1" w:tplc="96E43BEA" w:tentative="1">
      <w:start w:val="1"/>
      <w:numFmt w:val="lowerLetter"/>
      <w:lvlText w:val="%2."/>
      <w:lvlJc w:val="left"/>
      <w:pPr>
        <w:ind w:left="1181" w:hanging="360"/>
      </w:pPr>
    </w:lvl>
    <w:lvl w:ilvl="2" w:tplc="DD4C2DE0" w:tentative="1">
      <w:start w:val="1"/>
      <w:numFmt w:val="lowerRoman"/>
      <w:lvlText w:val="%3."/>
      <w:lvlJc w:val="right"/>
      <w:pPr>
        <w:ind w:left="1901" w:hanging="180"/>
      </w:pPr>
    </w:lvl>
    <w:lvl w:ilvl="3" w:tplc="601C6F18" w:tentative="1">
      <w:start w:val="1"/>
      <w:numFmt w:val="decimal"/>
      <w:lvlText w:val="%4."/>
      <w:lvlJc w:val="left"/>
      <w:pPr>
        <w:ind w:left="2621" w:hanging="360"/>
      </w:pPr>
    </w:lvl>
    <w:lvl w:ilvl="4" w:tplc="48C401A8" w:tentative="1">
      <w:start w:val="1"/>
      <w:numFmt w:val="lowerLetter"/>
      <w:lvlText w:val="%5."/>
      <w:lvlJc w:val="left"/>
      <w:pPr>
        <w:ind w:left="3341" w:hanging="360"/>
      </w:pPr>
    </w:lvl>
    <w:lvl w:ilvl="5" w:tplc="F8CADEAE" w:tentative="1">
      <w:start w:val="1"/>
      <w:numFmt w:val="lowerRoman"/>
      <w:lvlText w:val="%6."/>
      <w:lvlJc w:val="right"/>
      <w:pPr>
        <w:ind w:left="4061" w:hanging="180"/>
      </w:pPr>
    </w:lvl>
    <w:lvl w:ilvl="6" w:tplc="62A23C12" w:tentative="1">
      <w:start w:val="1"/>
      <w:numFmt w:val="decimal"/>
      <w:lvlText w:val="%7."/>
      <w:lvlJc w:val="left"/>
      <w:pPr>
        <w:ind w:left="4781" w:hanging="360"/>
      </w:pPr>
    </w:lvl>
    <w:lvl w:ilvl="7" w:tplc="D05AA56C" w:tentative="1">
      <w:start w:val="1"/>
      <w:numFmt w:val="lowerLetter"/>
      <w:lvlText w:val="%8."/>
      <w:lvlJc w:val="left"/>
      <w:pPr>
        <w:ind w:left="5501" w:hanging="360"/>
      </w:pPr>
    </w:lvl>
    <w:lvl w:ilvl="8" w:tplc="C2CA655A" w:tentative="1">
      <w:start w:val="1"/>
      <w:numFmt w:val="lowerRoman"/>
      <w:lvlText w:val="%9."/>
      <w:lvlJc w:val="right"/>
      <w:pPr>
        <w:ind w:left="6221" w:hanging="180"/>
      </w:pPr>
    </w:lvl>
  </w:abstractNum>
  <w:abstractNum w:abstractNumId="10" w15:restartNumberingAfterBreak="0">
    <w:nsid w:val="1B622C7C"/>
    <w:multiLevelType w:val="hybridMultilevel"/>
    <w:tmpl w:val="76DAFABA"/>
    <w:lvl w:ilvl="0" w:tplc="E4A04FA2">
      <w:start w:val="1"/>
      <w:numFmt w:val="decimal"/>
      <w:lvlText w:val="%1."/>
      <w:lvlJc w:val="left"/>
      <w:pPr>
        <w:ind w:left="527" w:hanging="360"/>
      </w:pPr>
      <w:rPr>
        <w:rFonts w:ascii="Calibri" w:eastAsia="Calibri" w:hAnsi="Calibri" w:hint="default"/>
        <w:b/>
        <w:bCs/>
        <w:w w:val="99"/>
        <w:sz w:val="22"/>
        <w:szCs w:val="22"/>
      </w:rPr>
    </w:lvl>
    <w:lvl w:ilvl="1" w:tplc="6E8EDEEE">
      <w:start w:val="1"/>
      <w:numFmt w:val="bullet"/>
      <w:lvlText w:val="•"/>
      <w:lvlJc w:val="left"/>
      <w:pPr>
        <w:ind w:left="924" w:hanging="360"/>
      </w:pPr>
      <w:rPr>
        <w:rFonts w:hint="default"/>
      </w:rPr>
    </w:lvl>
    <w:lvl w:ilvl="2" w:tplc="10A4B7E6">
      <w:start w:val="1"/>
      <w:numFmt w:val="bullet"/>
      <w:lvlText w:val="•"/>
      <w:lvlJc w:val="left"/>
      <w:pPr>
        <w:ind w:left="1329" w:hanging="360"/>
      </w:pPr>
      <w:rPr>
        <w:rFonts w:hint="default"/>
      </w:rPr>
    </w:lvl>
    <w:lvl w:ilvl="3" w:tplc="97483930">
      <w:start w:val="1"/>
      <w:numFmt w:val="bullet"/>
      <w:lvlText w:val="•"/>
      <w:lvlJc w:val="left"/>
      <w:pPr>
        <w:ind w:left="1734" w:hanging="360"/>
      </w:pPr>
      <w:rPr>
        <w:rFonts w:hint="default"/>
      </w:rPr>
    </w:lvl>
    <w:lvl w:ilvl="4" w:tplc="321CB78C">
      <w:start w:val="1"/>
      <w:numFmt w:val="bullet"/>
      <w:lvlText w:val="•"/>
      <w:lvlJc w:val="left"/>
      <w:pPr>
        <w:ind w:left="2139" w:hanging="360"/>
      </w:pPr>
      <w:rPr>
        <w:rFonts w:hint="default"/>
      </w:rPr>
    </w:lvl>
    <w:lvl w:ilvl="5" w:tplc="F3046664">
      <w:start w:val="1"/>
      <w:numFmt w:val="bullet"/>
      <w:lvlText w:val="•"/>
      <w:lvlJc w:val="left"/>
      <w:pPr>
        <w:ind w:left="2544" w:hanging="360"/>
      </w:pPr>
      <w:rPr>
        <w:rFonts w:hint="default"/>
      </w:rPr>
    </w:lvl>
    <w:lvl w:ilvl="6" w:tplc="A16E7A9E">
      <w:start w:val="1"/>
      <w:numFmt w:val="bullet"/>
      <w:lvlText w:val="•"/>
      <w:lvlJc w:val="left"/>
      <w:pPr>
        <w:ind w:left="2949" w:hanging="360"/>
      </w:pPr>
      <w:rPr>
        <w:rFonts w:hint="default"/>
      </w:rPr>
    </w:lvl>
    <w:lvl w:ilvl="7" w:tplc="7EC866F4">
      <w:start w:val="1"/>
      <w:numFmt w:val="bullet"/>
      <w:lvlText w:val="•"/>
      <w:lvlJc w:val="left"/>
      <w:pPr>
        <w:ind w:left="3354" w:hanging="360"/>
      </w:pPr>
      <w:rPr>
        <w:rFonts w:hint="default"/>
      </w:rPr>
    </w:lvl>
    <w:lvl w:ilvl="8" w:tplc="1E3AF08C">
      <w:start w:val="1"/>
      <w:numFmt w:val="bullet"/>
      <w:lvlText w:val="•"/>
      <w:lvlJc w:val="left"/>
      <w:pPr>
        <w:ind w:left="3759" w:hanging="360"/>
      </w:pPr>
      <w:rPr>
        <w:rFonts w:hint="default"/>
      </w:rPr>
    </w:lvl>
  </w:abstractNum>
  <w:abstractNum w:abstractNumId="11" w15:restartNumberingAfterBreak="0">
    <w:nsid w:val="28381602"/>
    <w:multiLevelType w:val="multilevel"/>
    <w:tmpl w:val="7C7C2238"/>
    <w:lvl w:ilvl="0">
      <w:start w:val="1"/>
      <w:numFmt w:val="decimal"/>
      <w:lvlText w:val="%1."/>
      <w:lvlJc w:val="left"/>
      <w:pPr>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0AD1470"/>
    <w:multiLevelType w:val="multilevel"/>
    <w:tmpl w:val="029094CE"/>
    <w:lvl w:ilvl="0">
      <w:start w:val="1"/>
      <w:numFmt w:val="decimal"/>
      <w:pStyle w:val="NumberedHeading1"/>
      <w:lvlText w:val="%1."/>
      <w:lvlJc w:val="left"/>
      <w:pPr>
        <w:ind w:left="425" w:hanging="425"/>
      </w:pPr>
      <w:rPr>
        <w:rFonts w:hint="default"/>
      </w:rPr>
    </w:lvl>
    <w:lvl w:ilvl="1">
      <w:start w:val="1"/>
      <w:numFmt w:val="decimal"/>
      <w:pStyle w:val="NumberedHeading2"/>
      <w:lvlText w:val="%1.%2."/>
      <w:lvlJc w:val="left"/>
      <w:pPr>
        <w:ind w:left="709" w:hanging="709"/>
      </w:pPr>
      <w:rPr>
        <w:rFonts w:hint="default"/>
      </w:rPr>
    </w:lvl>
    <w:lvl w:ilvl="2">
      <w:start w:val="1"/>
      <w:numFmt w:val="decimal"/>
      <w:pStyle w:val="NumberedHeading3"/>
      <w:lvlText w:val="%1.%2.%3."/>
      <w:lvlJc w:val="left"/>
      <w:pPr>
        <w:ind w:left="425"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25C3DF3"/>
    <w:multiLevelType w:val="hybridMultilevel"/>
    <w:tmpl w:val="854C33B4"/>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4" w15:restartNumberingAfterBreak="0">
    <w:nsid w:val="3DB16DA5"/>
    <w:multiLevelType w:val="multilevel"/>
    <w:tmpl w:val="868889F6"/>
    <w:lvl w:ilvl="0">
      <w:start w:val="1"/>
      <w:numFmt w:val="decimal"/>
      <w:pStyle w:val="ListNumber"/>
      <w:lvlText w:val="%1."/>
      <w:lvlJc w:val="left"/>
      <w:pPr>
        <w:ind w:left="425" w:hanging="425"/>
      </w:pPr>
      <w:rPr>
        <w:rFonts w:hint="default"/>
      </w:rPr>
    </w:lvl>
    <w:lvl w:ilvl="1">
      <w:start w:val="1"/>
      <w:numFmt w:val="decimal"/>
      <w:pStyle w:val="ListNumber2"/>
      <w:lvlText w:val="%1.%2."/>
      <w:lvlJc w:val="left"/>
      <w:pPr>
        <w:ind w:left="992" w:hanging="567"/>
      </w:pPr>
      <w:rPr>
        <w:rFonts w:hint="default"/>
      </w:rPr>
    </w:lvl>
    <w:lvl w:ilvl="2">
      <w:start w:val="1"/>
      <w:numFmt w:val="decimal"/>
      <w:pStyle w:val="ListNumber3"/>
      <w:lvlText w:val="%1.%2.%3."/>
      <w:lvlJc w:val="left"/>
      <w:pPr>
        <w:ind w:left="1559" w:hanging="7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E87761C"/>
    <w:multiLevelType w:val="multilevel"/>
    <w:tmpl w:val="D3888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069483F"/>
    <w:multiLevelType w:val="multilevel"/>
    <w:tmpl w:val="ED58F982"/>
    <w:lvl w:ilvl="0">
      <w:start w:val="1"/>
      <w:numFmt w:val="decimal"/>
      <w:pStyle w:val="NumberedParagraphLevel1"/>
      <w:lvlText w:val="%1."/>
      <w:lvlJc w:val="left"/>
      <w:pPr>
        <w:ind w:left="709" w:hanging="709"/>
      </w:pPr>
      <w:rPr>
        <w:rFonts w:hint="default"/>
      </w:rPr>
    </w:lvl>
    <w:lvl w:ilvl="1">
      <w:start w:val="1"/>
      <w:numFmt w:val="decimal"/>
      <w:pStyle w:val="NumberedParagraphLevel2"/>
      <w:lvlText w:val="%1.%2."/>
      <w:lvlJc w:val="left"/>
      <w:pPr>
        <w:ind w:left="709" w:hanging="709"/>
      </w:pPr>
      <w:rPr>
        <w:rFonts w:hint="default"/>
      </w:rPr>
    </w:lvl>
    <w:lvl w:ilvl="2">
      <w:start w:val="1"/>
      <w:numFmt w:val="decimal"/>
      <w:pStyle w:val="NumberedParagraphLevel3"/>
      <w:lvlText w:val="%1.%2.%3."/>
      <w:lvlJc w:val="left"/>
      <w:pPr>
        <w:ind w:left="709" w:hanging="709"/>
      </w:pPr>
      <w:rPr>
        <w:rFonts w:hint="default"/>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17" w15:restartNumberingAfterBreak="0">
    <w:nsid w:val="52DE4D6B"/>
    <w:multiLevelType w:val="hybridMultilevel"/>
    <w:tmpl w:val="9F5E4EC2"/>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8" w15:restartNumberingAfterBreak="0">
    <w:nsid w:val="55975678"/>
    <w:multiLevelType w:val="hybridMultilevel"/>
    <w:tmpl w:val="0652F13E"/>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9" w15:restartNumberingAfterBreak="0">
    <w:nsid w:val="5B70119B"/>
    <w:multiLevelType w:val="multilevel"/>
    <w:tmpl w:val="60FAC136"/>
    <w:lvl w:ilvl="0">
      <w:start w:val="1"/>
      <w:numFmt w:val="bullet"/>
      <w:lvlText w:val=""/>
      <w:lvlJc w:val="left"/>
      <w:pPr>
        <w:tabs>
          <w:tab w:val="num" w:pos="1548"/>
        </w:tabs>
        <w:ind w:left="1548" w:hanging="360"/>
      </w:pPr>
      <w:rPr>
        <w:rFonts w:ascii="Symbol" w:hAnsi="Symbol" w:hint="default"/>
        <w:sz w:val="20"/>
      </w:rPr>
    </w:lvl>
    <w:lvl w:ilvl="1">
      <w:start w:val="1"/>
      <w:numFmt w:val="bullet"/>
      <w:lvlText w:val="o"/>
      <w:lvlJc w:val="left"/>
      <w:pPr>
        <w:tabs>
          <w:tab w:val="num" w:pos="2268"/>
        </w:tabs>
        <w:ind w:left="2268" w:hanging="360"/>
      </w:pPr>
      <w:rPr>
        <w:rFonts w:ascii="Courier New" w:hAnsi="Courier New" w:hint="default"/>
        <w:sz w:val="20"/>
      </w:rPr>
    </w:lvl>
    <w:lvl w:ilvl="2">
      <w:start w:val="800"/>
      <w:numFmt w:val="decimalZero"/>
      <w:lvlText w:val="%3"/>
      <w:lvlJc w:val="left"/>
      <w:pPr>
        <w:ind w:left="3501" w:hanging="873"/>
      </w:pPr>
      <w:rPr>
        <w:rFonts w:hint="default"/>
        <w:i w:val="0"/>
      </w:rPr>
    </w:lvl>
    <w:lvl w:ilvl="3" w:tentative="1">
      <w:start w:val="1"/>
      <w:numFmt w:val="bullet"/>
      <w:lvlText w:val=""/>
      <w:lvlJc w:val="left"/>
      <w:pPr>
        <w:tabs>
          <w:tab w:val="num" w:pos="3708"/>
        </w:tabs>
        <w:ind w:left="3708" w:hanging="360"/>
      </w:pPr>
      <w:rPr>
        <w:rFonts w:ascii="Wingdings" w:hAnsi="Wingdings" w:hint="default"/>
        <w:sz w:val="20"/>
      </w:rPr>
    </w:lvl>
    <w:lvl w:ilvl="4" w:tentative="1">
      <w:start w:val="1"/>
      <w:numFmt w:val="bullet"/>
      <w:lvlText w:val=""/>
      <w:lvlJc w:val="left"/>
      <w:pPr>
        <w:tabs>
          <w:tab w:val="num" w:pos="4428"/>
        </w:tabs>
        <w:ind w:left="4428" w:hanging="360"/>
      </w:pPr>
      <w:rPr>
        <w:rFonts w:ascii="Wingdings" w:hAnsi="Wingdings" w:hint="default"/>
        <w:sz w:val="20"/>
      </w:rPr>
    </w:lvl>
    <w:lvl w:ilvl="5" w:tentative="1">
      <w:start w:val="1"/>
      <w:numFmt w:val="bullet"/>
      <w:lvlText w:val=""/>
      <w:lvlJc w:val="left"/>
      <w:pPr>
        <w:tabs>
          <w:tab w:val="num" w:pos="5148"/>
        </w:tabs>
        <w:ind w:left="5148" w:hanging="360"/>
      </w:pPr>
      <w:rPr>
        <w:rFonts w:ascii="Wingdings" w:hAnsi="Wingdings" w:hint="default"/>
        <w:sz w:val="20"/>
      </w:rPr>
    </w:lvl>
    <w:lvl w:ilvl="6" w:tentative="1">
      <w:start w:val="1"/>
      <w:numFmt w:val="bullet"/>
      <w:lvlText w:val=""/>
      <w:lvlJc w:val="left"/>
      <w:pPr>
        <w:tabs>
          <w:tab w:val="num" w:pos="5868"/>
        </w:tabs>
        <w:ind w:left="5868" w:hanging="360"/>
      </w:pPr>
      <w:rPr>
        <w:rFonts w:ascii="Wingdings" w:hAnsi="Wingdings" w:hint="default"/>
        <w:sz w:val="20"/>
      </w:rPr>
    </w:lvl>
    <w:lvl w:ilvl="7" w:tentative="1">
      <w:start w:val="1"/>
      <w:numFmt w:val="bullet"/>
      <w:lvlText w:val=""/>
      <w:lvlJc w:val="left"/>
      <w:pPr>
        <w:tabs>
          <w:tab w:val="num" w:pos="6588"/>
        </w:tabs>
        <w:ind w:left="6588" w:hanging="360"/>
      </w:pPr>
      <w:rPr>
        <w:rFonts w:ascii="Wingdings" w:hAnsi="Wingdings" w:hint="default"/>
        <w:sz w:val="20"/>
      </w:rPr>
    </w:lvl>
    <w:lvl w:ilvl="8" w:tentative="1">
      <w:start w:val="1"/>
      <w:numFmt w:val="bullet"/>
      <w:lvlText w:val=""/>
      <w:lvlJc w:val="left"/>
      <w:pPr>
        <w:tabs>
          <w:tab w:val="num" w:pos="7308"/>
        </w:tabs>
        <w:ind w:left="7308" w:hanging="360"/>
      </w:pPr>
      <w:rPr>
        <w:rFonts w:ascii="Wingdings" w:hAnsi="Wingdings" w:hint="default"/>
        <w:sz w:val="20"/>
      </w:rPr>
    </w:lvl>
  </w:abstractNum>
  <w:abstractNum w:abstractNumId="20" w15:restartNumberingAfterBreak="0">
    <w:nsid w:val="71D0083A"/>
    <w:multiLevelType w:val="hybridMultilevel"/>
    <w:tmpl w:val="9C142F52"/>
    <w:lvl w:ilvl="0" w:tplc="286C05EE">
      <w:start w:val="1"/>
      <w:numFmt w:val="decimal"/>
      <w:lvlText w:val="%1."/>
      <w:lvlJc w:val="left"/>
      <w:pPr>
        <w:ind w:left="527" w:hanging="360"/>
      </w:pPr>
      <w:rPr>
        <w:rFonts w:ascii="Calibri" w:eastAsia="Calibri" w:hAnsi="Calibri" w:hint="default"/>
        <w:b/>
        <w:bCs/>
        <w:w w:val="99"/>
        <w:sz w:val="22"/>
        <w:szCs w:val="22"/>
      </w:rPr>
    </w:lvl>
    <w:lvl w:ilvl="1" w:tplc="ED20817E">
      <w:start w:val="1"/>
      <w:numFmt w:val="bullet"/>
      <w:lvlText w:val="•"/>
      <w:lvlJc w:val="left"/>
      <w:pPr>
        <w:ind w:left="928" w:hanging="360"/>
      </w:pPr>
      <w:rPr>
        <w:rFonts w:hint="default"/>
      </w:rPr>
    </w:lvl>
    <w:lvl w:ilvl="2" w:tplc="632CFD04">
      <w:start w:val="1"/>
      <w:numFmt w:val="bullet"/>
      <w:lvlText w:val="•"/>
      <w:lvlJc w:val="left"/>
      <w:pPr>
        <w:ind w:left="1337" w:hanging="360"/>
      </w:pPr>
      <w:rPr>
        <w:rFonts w:hint="default"/>
      </w:rPr>
    </w:lvl>
    <w:lvl w:ilvl="3" w:tplc="18AA754E">
      <w:start w:val="1"/>
      <w:numFmt w:val="bullet"/>
      <w:lvlText w:val="•"/>
      <w:lvlJc w:val="left"/>
      <w:pPr>
        <w:ind w:left="1745" w:hanging="360"/>
      </w:pPr>
      <w:rPr>
        <w:rFonts w:hint="default"/>
      </w:rPr>
    </w:lvl>
    <w:lvl w:ilvl="4" w:tplc="D03E88DA">
      <w:start w:val="1"/>
      <w:numFmt w:val="bullet"/>
      <w:lvlText w:val="•"/>
      <w:lvlJc w:val="left"/>
      <w:pPr>
        <w:ind w:left="2153" w:hanging="360"/>
      </w:pPr>
      <w:rPr>
        <w:rFonts w:hint="default"/>
      </w:rPr>
    </w:lvl>
    <w:lvl w:ilvl="5" w:tplc="9A506DEC">
      <w:start w:val="1"/>
      <w:numFmt w:val="bullet"/>
      <w:lvlText w:val="•"/>
      <w:lvlJc w:val="left"/>
      <w:pPr>
        <w:ind w:left="2562" w:hanging="360"/>
      </w:pPr>
      <w:rPr>
        <w:rFonts w:hint="default"/>
      </w:rPr>
    </w:lvl>
    <w:lvl w:ilvl="6" w:tplc="55784C90">
      <w:start w:val="1"/>
      <w:numFmt w:val="bullet"/>
      <w:lvlText w:val="•"/>
      <w:lvlJc w:val="left"/>
      <w:pPr>
        <w:ind w:left="2970" w:hanging="360"/>
      </w:pPr>
      <w:rPr>
        <w:rFonts w:hint="default"/>
      </w:rPr>
    </w:lvl>
    <w:lvl w:ilvl="7" w:tplc="C8F26AD0">
      <w:start w:val="1"/>
      <w:numFmt w:val="bullet"/>
      <w:lvlText w:val="•"/>
      <w:lvlJc w:val="left"/>
      <w:pPr>
        <w:ind w:left="3379" w:hanging="360"/>
      </w:pPr>
      <w:rPr>
        <w:rFonts w:hint="default"/>
      </w:rPr>
    </w:lvl>
    <w:lvl w:ilvl="8" w:tplc="4B046BA6">
      <w:start w:val="1"/>
      <w:numFmt w:val="bullet"/>
      <w:lvlText w:val="•"/>
      <w:lvlJc w:val="left"/>
      <w:pPr>
        <w:ind w:left="3787" w:hanging="360"/>
      </w:pPr>
      <w:rPr>
        <w:rFonts w:hint="default"/>
      </w:rPr>
    </w:lvl>
  </w:abstractNum>
  <w:num w:numId="1" w16cid:durableId="1708869003">
    <w:abstractNumId w:val="8"/>
  </w:num>
  <w:num w:numId="2" w16cid:durableId="1087309651">
    <w:abstractNumId w:val="5"/>
  </w:num>
  <w:num w:numId="3" w16cid:durableId="1196191592">
    <w:abstractNumId w:val="3"/>
  </w:num>
  <w:num w:numId="4" w16cid:durableId="2055692257">
    <w:abstractNumId w:val="2"/>
  </w:num>
  <w:num w:numId="5" w16cid:durableId="653291151">
    <w:abstractNumId w:val="4"/>
  </w:num>
  <w:num w:numId="6" w16cid:durableId="1665740748">
    <w:abstractNumId w:val="14"/>
  </w:num>
  <w:num w:numId="7" w16cid:durableId="794301017">
    <w:abstractNumId w:val="1"/>
  </w:num>
  <w:num w:numId="8" w16cid:durableId="295256714">
    <w:abstractNumId w:val="14"/>
  </w:num>
  <w:num w:numId="9" w16cid:durableId="783036820">
    <w:abstractNumId w:val="0"/>
  </w:num>
  <w:num w:numId="10" w16cid:durableId="1049570972">
    <w:abstractNumId w:val="14"/>
  </w:num>
  <w:num w:numId="11" w16cid:durableId="1881700741">
    <w:abstractNumId w:val="11"/>
  </w:num>
  <w:num w:numId="12" w16cid:durableId="1684554176">
    <w:abstractNumId w:val="12"/>
  </w:num>
  <w:num w:numId="13" w16cid:durableId="19497015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321475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36219845">
    <w:abstractNumId w:val="12"/>
    <w:lvlOverride w:ilvl="0">
      <w:lvl w:ilvl="0">
        <w:start w:val="1"/>
        <w:numFmt w:val="decimal"/>
        <w:pStyle w:val="NumberedHeading1"/>
        <w:lvlText w:val="%1."/>
        <w:lvlJc w:val="left"/>
        <w:pPr>
          <w:ind w:left="425" w:hanging="425"/>
        </w:pPr>
        <w:rPr>
          <w:rFonts w:hint="default"/>
        </w:rPr>
      </w:lvl>
    </w:lvlOverride>
    <w:lvlOverride w:ilvl="1">
      <w:lvl w:ilvl="1">
        <w:start w:val="1"/>
        <w:numFmt w:val="decimal"/>
        <w:pStyle w:val="NumberedHeading2"/>
        <w:lvlText w:val="%1.%2."/>
        <w:lvlJc w:val="left"/>
        <w:pPr>
          <w:ind w:left="709" w:hanging="709"/>
        </w:pPr>
        <w:rPr>
          <w:rFonts w:hint="default"/>
        </w:rPr>
      </w:lvl>
    </w:lvlOverride>
    <w:lvlOverride w:ilvl="2">
      <w:lvl w:ilvl="2">
        <w:start w:val="1"/>
        <w:numFmt w:val="decimal"/>
        <w:pStyle w:val="NumberedHeading3"/>
        <w:lvlText w:val="%1.%2.%3."/>
        <w:lvlJc w:val="left"/>
        <w:pPr>
          <w:tabs>
            <w:tab w:val="num" w:pos="425"/>
          </w:tabs>
          <w:ind w:left="709" w:hanging="709"/>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6" w16cid:durableId="175392797">
    <w:abstractNumId w:val="16"/>
  </w:num>
  <w:num w:numId="17" w16cid:durableId="959729086">
    <w:abstractNumId w:val="10"/>
  </w:num>
  <w:num w:numId="18" w16cid:durableId="426662037">
    <w:abstractNumId w:val="20"/>
  </w:num>
  <w:num w:numId="19" w16cid:durableId="1118260247">
    <w:abstractNumId w:val="6"/>
  </w:num>
  <w:num w:numId="20" w16cid:durableId="1813014375">
    <w:abstractNumId w:val="9"/>
  </w:num>
  <w:num w:numId="21" w16cid:durableId="1364280846">
    <w:abstractNumId w:val="18"/>
  </w:num>
  <w:num w:numId="22" w16cid:durableId="906845796">
    <w:abstractNumId w:val="19"/>
  </w:num>
  <w:num w:numId="23" w16cid:durableId="590509188">
    <w:abstractNumId w:val="13"/>
  </w:num>
  <w:num w:numId="24" w16cid:durableId="1437867518">
    <w:abstractNumId w:val="17"/>
  </w:num>
  <w:num w:numId="25" w16cid:durableId="432819879">
    <w:abstractNumId w:val="7"/>
  </w:num>
  <w:num w:numId="26" w16cid:durableId="90336849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A5E"/>
    <w:rsid w:val="00007CA4"/>
    <w:rsid w:val="000137DE"/>
    <w:rsid w:val="00026C1F"/>
    <w:rsid w:val="00043D7B"/>
    <w:rsid w:val="00052540"/>
    <w:rsid w:val="00052D54"/>
    <w:rsid w:val="000614A1"/>
    <w:rsid w:val="00067D5D"/>
    <w:rsid w:val="00095E6A"/>
    <w:rsid w:val="000B759C"/>
    <w:rsid w:val="000E56E8"/>
    <w:rsid w:val="000F7237"/>
    <w:rsid w:val="00177EEC"/>
    <w:rsid w:val="00185E4F"/>
    <w:rsid w:val="001A3B33"/>
    <w:rsid w:val="001D648B"/>
    <w:rsid w:val="001D6D20"/>
    <w:rsid w:val="001E1BC6"/>
    <w:rsid w:val="001F67E5"/>
    <w:rsid w:val="002443D5"/>
    <w:rsid w:val="002643E9"/>
    <w:rsid w:val="00284EC9"/>
    <w:rsid w:val="002A7FFC"/>
    <w:rsid w:val="002D03A4"/>
    <w:rsid w:val="002F165D"/>
    <w:rsid w:val="003359CC"/>
    <w:rsid w:val="003904B3"/>
    <w:rsid w:val="003A0BDD"/>
    <w:rsid w:val="003C2D6B"/>
    <w:rsid w:val="003C5457"/>
    <w:rsid w:val="003F3426"/>
    <w:rsid w:val="004241BC"/>
    <w:rsid w:val="004656D1"/>
    <w:rsid w:val="00474760"/>
    <w:rsid w:val="004C5CC9"/>
    <w:rsid w:val="004D1D96"/>
    <w:rsid w:val="004E31D9"/>
    <w:rsid w:val="004F11C9"/>
    <w:rsid w:val="004F5748"/>
    <w:rsid w:val="005111F1"/>
    <w:rsid w:val="00517AF2"/>
    <w:rsid w:val="005250FC"/>
    <w:rsid w:val="0053214A"/>
    <w:rsid w:val="0056683E"/>
    <w:rsid w:val="00570E96"/>
    <w:rsid w:val="005727A2"/>
    <w:rsid w:val="00580208"/>
    <w:rsid w:val="005B4BD3"/>
    <w:rsid w:val="005D7FC2"/>
    <w:rsid w:val="005F1055"/>
    <w:rsid w:val="0062588B"/>
    <w:rsid w:val="00633D23"/>
    <w:rsid w:val="006359C5"/>
    <w:rsid w:val="00656886"/>
    <w:rsid w:val="00673810"/>
    <w:rsid w:val="006760D8"/>
    <w:rsid w:val="006812C0"/>
    <w:rsid w:val="006D5FEE"/>
    <w:rsid w:val="006E28D9"/>
    <w:rsid w:val="00703C68"/>
    <w:rsid w:val="007042CD"/>
    <w:rsid w:val="00707415"/>
    <w:rsid w:val="00721ED1"/>
    <w:rsid w:val="00745383"/>
    <w:rsid w:val="007640DB"/>
    <w:rsid w:val="00764C8D"/>
    <w:rsid w:val="00772C95"/>
    <w:rsid w:val="00772FFF"/>
    <w:rsid w:val="00780EE1"/>
    <w:rsid w:val="00796541"/>
    <w:rsid w:val="007A5E0D"/>
    <w:rsid w:val="007C4837"/>
    <w:rsid w:val="007C5DB4"/>
    <w:rsid w:val="007F3458"/>
    <w:rsid w:val="008107E1"/>
    <w:rsid w:val="00833229"/>
    <w:rsid w:val="00835B49"/>
    <w:rsid w:val="008376A4"/>
    <w:rsid w:val="00840E64"/>
    <w:rsid w:val="008565D9"/>
    <w:rsid w:val="00880128"/>
    <w:rsid w:val="0088417D"/>
    <w:rsid w:val="00884A54"/>
    <w:rsid w:val="008A48CD"/>
    <w:rsid w:val="008D25C6"/>
    <w:rsid w:val="008D3DA0"/>
    <w:rsid w:val="008F5EBA"/>
    <w:rsid w:val="00906170"/>
    <w:rsid w:val="00911FBD"/>
    <w:rsid w:val="00934558"/>
    <w:rsid w:val="0095470F"/>
    <w:rsid w:val="00964A69"/>
    <w:rsid w:val="00990AD4"/>
    <w:rsid w:val="009C6E65"/>
    <w:rsid w:val="009E13AD"/>
    <w:rsid w:val="00A70B9D"/>
    <w:rsid w:val="00A75FC3"/>
    <w:rsid w:val="00A97F41"/>
    <w:rsid w:val="00AA24F0"/>
    <w:rsid w:val="00AB1CC6"/>
    <w:rsid w:val="00AB5F03"/>
    <w:rsid w:val="00AE487B"/>
    <w:rsid w:val="00AF7ABE"/>
    <w:rsid w:val="00B10C57"/>
    <w:rsid w:val="00B25C1E"/>
    <w:rsid w:val="00B56379"/>
    <w:rsid w:val="00B63172"/>
    <w:rsid w:val="00B720B2"/>
    <w:rsid w:val="00B85A5E"/>
    <w:rsid w:val="00BA3537"/>
    <w:rsid w:val="00BE5D70"/>
    <w:rsid w:val="00C000BF"/>
    <w:rsid w:val="00C1266E"/>
    <w:rsid w:val="00C36B52"/>
    <w:rsid w:val="00C4615A"/>
    <w:rsid w:val="00C824F8"/>
    <w:rsid w:val="00C90E91"/>
    <w:rsid w:val="00CC07B4"/>
    <w:rsid w:val="00CE47A3"/>
    <w:rsid w:val="00CF1A1A"/>
    <w:rsid w:val="00CF4700"/>
    <w:rsid w:val="00D000F1"/>
    <w:rsid w:val="00D045B1"/>
    <w:rsid w:val="00D161AC"/>
    <w:rsid w:val="00D32BAE"/>
    <w:rsid w:val="00D45AFD"/>
    <w:rsid w:val="00D45B7C"/>
    <w:rsid w:val="00D5143D"/>
    <w:rsid w:val="00D606CE"/>
    <w:rsid w:val="00D76D1B"/>
    <w:rsid w:val="00DB6B55"/>
    <w:rsid w:val="00DC2245"/>
    <w:rsid w:val="00DD0FDA"/>
    <w:rsid w:val="00DE0CE2"/>
    <w:rsid w:val="00E351FA"/>
    <w:rsid w:val="00E60EA1"/>
    <w:rsid w:val="00E851C7"/>
    <w:rsid w:val="00E90F79"/>
    <w:rsid w:val="00E9303B"/>
    <w:rsid w:val="00E9320B"/>
    <w:rsid w:val="00EA6258"/>
    <w:rsid w:val="00EC0590"/>
    <w:rsid w:val="00EC64BF"/>
    <w:rsid w:val="00EF1E8B"/>
    <w:rsid w:val="00F16029"/>
    <w:rsid w:val="00F17650"/>
    <w:rsid w:val="00F24BAB"/>
    <w:rsid w:val="00F31480"/>
    <w:rsid w:val="00F41C0B"/>
    <w:rsid w:val="00F4691F"/>
    <w:rsid w:val="00F65E5D"/>
    <w:rsid w:val="00F66D96"/>
    <w:rsid w:val="00F67976"/>
    <w:rsid w:val="00F97A91"/>
    <w:rsid w:val="00F97C05"/>
    <w:rsid w:val="00FC0804"/>
    <w:rsid w:val="00FC2C14"/>
    <w:rsid w:val="00FD53D7"/>
    <w:rsid w:val="00FE5A2E"/>
    <w:rsid w:val="00FE7D90"/>
    <w:rsid w:val="00FF0361"/>
    <w:rsid w:val="00FF07D5"/>
  </w:rsids>
  <m:mathPr>
    <m:mathFont m:val="Cambria Math"/>
    <m:brkBin m:val="before"/>
    <m:brkBinSub m:val="--"/>
    <m:smallFrac m:val="0"/>
    <m:dispDef/>
    <m:lMargin m:val="0"/>
    <m:rMargin m:val="0"/>
    <m:defJc m:val="centerGroup"/>
    <m:wrapIndent m:val="1440"/>
    <m:intLim m:val="subSup"/>
    <m:naryLim m:val="undOvr"/>
  </m:mathPr>
  <w:themeFontLang w:val="en-NZ"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33E1C2E6"/>
  <w15:docId w15:val="{ED1F3615-4A56-476A-8895-890C0B5E1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unhideWhenUsed="1"/>
    <w:lsdException w:name="List Bullet 3"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7E5"/>
    <w:pPr>
      <w:spacing w:before="40" w:after="160" w:line="260" w:lineRule="atLeast"/>
    </w:pPr>
  </w:style>
  <w:style w:type="paragraph" w:styleId="Heading1">
    <w:name w:val="heading 1"/>
    <w:basedOn w:val="Normal"/>
    <w:next w:val="Normal"/>
    <w:link w:val="Heading1Char"/>
    <w:uiPriority w:val="1"/>
    <w:qFormat/>
    <w:rsid w:val="006812C0"/>
    <w:pPr>
      <w:spacing w:before="240" w:after="240" w:line="240" w:lineRule="auto"/>
      <w:outlineLvl w:val="0"/>
    </w:pPr>
    <w:rPr>
      <w:rFonts w:ascii="Calibri Light" w:hAnsi="Calibri Light"/>
      <w:sz w:val="44"/>
      <w:szCs w:val="30"/>
    </w:rPr>
  </w:style>
  <w:style w:type="paragraph" w:styleId="Heading2">
    <w:name w:val="heading 2"/>
    <w:basedOn w:val="Normal"/>
    <w:next w:val="Normal"/>
    <w:link w:val="Heading2Char"/>
    <w:uiPriority w:val="1"/>
    <w:qFormat/>
    <w:rsid w:val="00052D54"/>
    <w:pPr>
      <w:pBdr>
        <w:bottom w:val="single" w:sz="8" w:space="6" w:color="595959" w:themeColor="text1" w:themeTint="A6"/>
      </w:pBdr>
      <w:spacing w:before="120" w:after="200" w:line="240" w:lineRule="auto"/>
      <w:outlineLvl w:val="1"/>
    </w:pPr>
    <w:rPr>
      <w:b/>
      <w:caps/>
      <w:sz w:val="30"/>
      <w:szCs w:val="30"/>
    </w:rPr>
  </w:style>
  <w:style w:type="paragraph" w:styleId="Heading3">
    <w:name w:val="heading 3"/>
    <w:basedOn w:val="Normal"/>
    <w:next w:val="Normal"/>
    <w:link w:val="Heading3Char"/>
    <w:uiPriority w:val="1"/>
    <w:qFormat/>
    <w:rsid w:val="00796541"/>
    <w:pPr>
      <w:spacing w:before="160"/>
      <w:outlineLvl w:val="2"/>
    </w:pPr>
    <w:rPr>
      <w:b/>
      <w:sz w:val="24"/>
      <w:szCs w:val="24"/>
    </w:rPr>
  </w:style>
  <w:style w:type="paragraph" w:styleId="Heading4">
    <w:name w:val="heading 4"/>
    <w:basedOn w:val="Normal"/>
    <w:next w:val="Normal"/>
    <w:link w:val="Heading4Char"/>
    <w:uiPriority w:val="9"/>
    <w:semiHidden/>
    <w:qFormat/>
    <w:rsid w:val="00EC64BF"/>
    <w:pPr>
      <w:keepNext/>
      <w:keepLines/>
      <w:spacing w:before="200" w:after="0"/>
      <w:outlineLvl w:val="3"/>
    </w:pPr>
    <w:rPr>
      <w:rFonts w:eastAsiaTheme="majorEastAsia" w:cstheme="majorBidi"/>
      <w:b/>
      <w:bCs/>
      <w:iCs/>
      <w:noProo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835B49"/>
    <w:pPr>
      <w:spacing w:after="0" w:line="240" w:lineRule="auto"/>
    </w:pPr>
  </w:style>
  <w:style w:type="character" w:customStyle="1" w:styleId="HeaderChar">
    <w:name w:val="Header Char"/>
    <w:basedOn w:val="DefaultParagraphFont"/>
    <w:link w:val="Header"/>
    <w:uiPriority w:val="99"/>
    <w:semiHidden/>
    <w:rsid w:val="00796541"/>
  </w:style>
  <w:style w:type="paragraph" w:styleId="Footer">
    <w:name w:val="footer"/>
    <w:basedOn w:val="Normal"/>
    <w:link w:val="FooterChar"/>
    <w:uiPriority w:val="99"/>
    <w:rsid w:val="00B631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541"/>
  </w:style>
  <w:style w:type="paragraph" w:styleId="BalloonText">
    <w:name w:val="Balloon Text"/>
    <w:basedOn w:val="Normal"/>
    <w:link w:val="BalloonTextChar"/>
    <w:uiPriority w:val="99"/>
    <w:semiHidden/>
    <w:rsid w:val="00B631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541"/>
    <w:rPr>
      <w:rFonts w:ascii="Tahoma" w:hAnsi="Tahoma" w:cs="Tahoma"/>
      <w:sz w:val="16"/>
      <w:szCs w:val="16"/>
    </w:rPr>
  </w:style>
  <w:style w:type="character" w:customStyle="1" w:styleId="Heading1Char">
    <w:name w:val="Heading 1 Char"/>
    <w:basedOn w:val="DefaultParagraphFont"/>
    <w:link w:val="Heading1"/>
    <w:uiPriority w:val="1"/>
    <w:rsid w:val="006812C0"/>
    <w:rPr>
      <w:rFonts w:ascii="Calibri Light" w:hAnsi="Calibri Light"/>
      <w:sz w:val="44"/>
      <w:szCs w:val="30"/>
    </w:rPr>
  </w:style>
  <w:style w:type="paragraph" w:styleId="ListBullet">
    <w:name w:val="List Bullet"/>
    <w:basedOn w:val="Normal"/>
    <w:uiPriority w:val="99"/>
    <w:rsid w:val="00F24BAB"/>
    <w:pPr>
      <w:numPr>
        <w:numId w:val="1"/>
      </w:numPr>
      <w:spacing w:after="40"/>
      <w:ind w:left="568" w:hanging="284"/>
      <w:contextualSpacing/>
    </w:pPr>
  </w:style>
  <w:style w:type="paragraph" w:styleId="ListBullet2">
    <w:name w:val="List Bullet 2"/>
    <w:basedOn w:val="ListBullet"/>
    <w:uiPriority w:val="99"/>
    <w:rsid w:val="00F24BAB"/>
    <w:pPr>
      <w:numPr>
        <w:ilvl w:val="1"/>
      </w:numPr>
      <w:ind w:left="1134"/>
    </w:pPr>
  </w:style>
  <w:style w:type="paragraph" w:styleId="ListBullet3">
    <w:name w:val="List Bullet 3"/>
    <w:basedOn w:val="ListBullet"/>
    <w:uiPriority w:val="99"/>
    <w:rsid w:val="00F24BAB"/>
    <w:pPr>
      <w:numPr>
        <w:ilvl w:val="2"/>
      </w:numPr>
      <w:ind w:left="1418"/>
    </w:pPr>
  </w:style>
  <w:style w:type="character" w:customStyle="1" w:styleId="Heading2Char">
    <w:name w:val="Heading 2 Char"/>
    <w:basedOn w:val="DefaultParagraphFont"/>
    <w:link w:val="Heading2"/>
    <w:uiPriority w:val="1"/>
    <w:rsid w:val="001F67E5"/>
    <w:rPr>
      <w:b/>
      <w:caps/>
      <w:sz w:val="30"/>
      <w:szCs w:val="30"/>
    </w:rPr>
  </w:style>
  <w:style w:type="character" w:customStyle="1" w:styleId="Heading3Char">
    <w:name w:val="Heading 3 Char"/>
    <w:basedOn w:val="DefaultParagraphFont"/>
    <w:link w:val="Heading3"/>
    <w:uiPriority w:val="1"/>
    <w:rsid w:val="001F67E5"/>
    <w:rPr>
      <w:b/>
      <w:sz w:val="24"/>
      <w:szCs w:val="24"/>
    </w:rPr>
  </w:style>
  <w:style w:type="paragraph" w:styleId="ListNumber">
    <w:name w:val="List Number"/>
    <w:basedOn w:val="Normal"/>
    <w:uiPriority w:val="99"/>
    <w:rsid w:val="00E851C7"/>
    <w:pPr>
      <w:numPr>
        <w:numId w:val="10"/>
      </w:numPr>
      <w:spacing w:after="40" w:line="240" w:lineRule="auto"/>
      <w:contextualSpacing/>
    </w:pPr>
  </w:style>
  <w:style w:type="paragraph" w:styleId="ListNumber2">
    <w:name w:val="List Number 2"/>
    <w:basedOn w:val="Normal"/>
    <w:uiPriority w:val="99"/>
    <w:rsid w:val="00E851C7"/>
    <w:pPr>
      <w:numPr>
        <w:ilvl w:val="1"/>
        <w:numId w:val="10"/>
      </w:numPr>
      <w:spacing w:after="40" w:line="240" w:lineRule="auto"/>
      <w:contextualSpacing/>
    </w:pPr>
  </w:style>
  <w:style w:type="paragraph" w:styleId="ListNumber3">
    <w:name w:val="List Number 3"/>
    <w:basedOn w:val="Normal"/>
    <w:uiPriority w:val="99"/>
    <w:rsid w:val="00E851C7"/>
    <w:pPr>
      <w:numPr>
        <w:ilvl w:val="2"/>
        <w:numId w:val="10"/>
      </w:numPr>
      <w:spacing w:after="40" w:line="240" w:lineRule="auto"/>
      <w:contextualSpacing/>
    </w:pPr>
  </w:style>
  <w:style w:type="character" w:customStyle="1" w:styleId="Heading4Char">
    <w:name w:val="Heading 4 Char"/>
    <w:basedOn w:val="DefaultParagraphFont"/>
    <w:link w:val="Heading4"/>
    <w:uiPriority w:val="9"/>
    <w:semiHidden/>
    <w:rsid w:val="004C5CC9"/>
    <w:rPr>
      <w:rFonts w:eastAsiaTheme="majorEastAsia" w:cstheme="majorBidi"/>
      <w:b/>
      <w:bCs/>
      <w:iCs/>
      <w:noProof/>
      <w:sz w:val="20"/>
      <w:szCs w:val="20"/>
    </w:rPr>
  </w:style>
  <w:style w:type="paragraph" w:customStyle="1" w:styleId="NumberedHeading1">
    <w:name w:val="Numbered Heading 1"/>
    <w:uiPriority w:val="1"/>
    <w:qFormat/>
    <w:rsid w:val="00EC64BF"/>
    <w:pPr>
      <w:numPr>
        <w:numId w:val="12"/>
      </w:numPr>
    </w:pPr>
    <w:rPr>
      <w:b/>
      <w:noProof/>
      <w:sz w:val="36"/>
      <w:szCs w:val="30"/>
    </w:rPr>
  </w:style>
  <w:style w:type="paragraph" w:customStyle="1" w:styleId="NumberedHeading2">
    <w:name w:val="Numbered Heading 2"/>
    <w:uiPriority w:val="1"/>
    <w:qFormat/>
    <w:rsid w:val="00656886"/>
    <w:pPr>
      <w:numPr>
        <w:ilvl w:val="1"/>
        <w:numId w:val="12"/>
      </w:numPr>
    </w:pPr>
    <w:rPr>
      <w:b/>
      <w:caps/>
      <w:noProof/>
      <w:sz w:val="30"/>
      <w:szCs w:val="30"/>
    </w:rPr>
  </w:style>
  <w:style w:type="paragraph" w:customStyle="1" w:styleId="NumberedHeading3">
    <w:name w:val="Numbered Heading 3"/>
    <w:uiPriority w:val="1"/>
    <w:qFormat/>
    <w:rsid w:val="004C5CC9"/>
    <w:pPr>
      <w:numPr>
        <w:ilvl w:val="2"/>
        <w:numId w:val="12"/>
      </w:numPr>
    </w:pPr>
    <w:rPr>
      <w:b/>
      <w:noProof/>
      <w:sz w:val="24"/>
      <w:szCs w:val="24"/>
    </w:rPr>
  </w:style>
  <w:style w:type="paragraph" w:customStyle="1" w:styleId="NumberedParagraphLevel1">
    <w:name w:val="Numbered Paragraph Level 1"/>
    <w:uiPriority w:val="1"/>
    <w:qFormat/>
    <w:rsid w:val="004C5CC9"/>
    <w:pPr>
      <w:numPr>
        <w:numId w:val="16"/>
      </w:numPr>
    </w:pPr>
    <w:rPr>
      <w:noProof/>
    </w:rPr>
  </w:style>
  <w:style w:type="paragraph" w:customStyle="1" w:styleId="NumberedParagraphLevel2">
    <w:name w:val="Numbered Paragraph Level 2"/>
    <w:uiPriority w:val="1"/>
    <w:qFormat/>
    <w:rsid w:val="004C5CC9"/>
    <w:pPr>
      <w:numPr>
        <w:ilvl w:val="1"/>
        <w:numId w:val="16"/>
      </w:numPr>
    </w:pPr>
    <w:rPr>
      <w:noProof/>
    </w:rPr>
  </w:style>
  <w:style w:type="paragraph" w:customStyle="1" w:styleId="NumberedParagraphLevel3">
    <w:name w:val="Numbered Paragraph Level 3"/>
    <w:uiPriority w:val="1"/>
    <w:qFormat/>
    <w:rsid w:val="004C5CC9"/>
    <w:pPr>
      <w:numPr>
        <w:ilvl w:val="2"/>
        <w:numId w:val="16"/>
      </w:numPr>
    </w:pPr>
    <w:rPr>
      <w:noProof/>
    </w:rPr>
  </w:style>
  <w:style w:type="paragraph" w:styleId="BodyText">
    <w:name w:val="Body Text"/>
    <w:basedOn w:val="Normal"/>
    <w:link w:val="BodyTextChar"/>
    <w:uiPriority w:val="1"/>
    <w:qFormat/>
    <w:rsid w:val="00764C8D"/>
    <w:pPr>
      <w:widowControl w:val="0"/>
      <w:spacing w:before="0" w:after="0" w:line="240" w:lineRule="auto"/>
    </w:pPr>
    <w:rPr>
      <w:rFonts w:ascii="Calibri" w:eastAsia="Calibri" w:hAnsi="Calibri"/>
      <w:lang w:val="en-US"/>
    </w:rPr>
  </w:style>
  <w:style w:type="character" w:customStyle="1" w:styleId="BodyTextChar">
    <w:name w:val="Body Text Char"/>
    <w:basedOn w:val="DefaultParagraphFont"/>
    <w:link w:val="BodyText"/>
    <w:uiPriority w:val="1"/>
    <w:rsid w:val="00764C8D"/>
    <w:rPr>
      <w:rFonts w:ascii="Calibri" w:eastAsia="Calibri" w:hAnsi="Calibri"/>
      <w:lang w:val="en-US"/>
    </w:rPr>
  </w:style>
  <w:style w:type="paragraph" w:styleId="ListParagraph">
    <w:name w:val="List Paragraph"/>
    <w:basedOn w:val="Normal"/>
    <w:uiPriority w:val="1"/>
    <w:qFormat/>
    <w:rsid w:val="0053214A"/>
    <w:pPr>
      <w:widowControl w:val="0"/>
      <w:spacing w:before="0" w:after="0" w:line="240" w:lineRule="auto"/>
    </w:pPr>
    <w:rPr>
      <w:lang w:val="en-US"/>
    </w:rPr>
  </w:style>
  <w:style w:type="character" w:styleId="PageNumber">
    <w:name w:val="page number"/>
    <w:basedOn w:val="DefaultParagraphFont"/>
    <w:uiPriority w:val="99"/>
    <w:semiHidden/>
    <w:unhideWhenUsed/>
    <w:rsid w:val="00CE47A3"/>
  </w:style>
  <w:style w:type="character" w:styleId="Hyperlink">
    <w:name w:val="Hyperlink"/>
    <w:basedOn w:val="DefaultParagraphFont"/>
    <w:uiPriority w:val="99"/>
    <w:unhideWhenUsed/>
    <w:rsid w:val="008D25C6"/>
    <w:rPr>
      <w:color w:val="0000FF" w:themeColor="hyperlink"/>
      <w:u w:val="single"/>
    </w:rPr>
  </w:style>
  <w:style w:type="character" w:styleId="UnresolvedMention">
    <w:name w:val="Unresolved Mention"/>
    <w:basedOn w:val="DefaultParagraphFont"/>
    <w:uiPriority w:val="99"/>
    <w:semiHidden/>
    <w:unhideWhenUsed/>
    <w:rsid w:val="008D25C6"/>
    <w:rPr>
      <w:color w:val="605E5C"/>
      <w:shd w:val="clear" w:color="auto" w:fill="E1DFDD"/>
    </w:rPr>
  </w:style>
  <w:style w:type="table" w:styleId="TableGrid">
    <w:name w:val="Table Grid"/>
    <w:basedOn w:val="TableNormal"/>
    <w:uiPriority w:val="59"/>
    <w:rsid w:val="006359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7042CD"/>
    <w:pPr>
      <w:autoSpaceDE w:val="0"/>
      <w:autoSpaceDN w:val="0"/>
      <w:adjustRightInd w:val="0"/>
      <w:spacing w:after="0" w:line="240" w:lineRule="auto"/>
    </w:pPr>
    <w:rPr>
      <w:rFonts w:ascii="Arial" w:eastAsia="Times New Roman" w:hAnsi="Arial" w:cs="Arial"/>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unittitles.govt.n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nittitles.govt.n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ittitles.govt.nz" TargetMode="External"/><Relationship Id="rId5" Type="http://schemas.openxmlformats.org/officeDocument/2006/relationships/webSettings" Target="webSettings.xml"/><Relationship Id="rId15" Type="http://schemas.openxmlformats.org/officeDocument/2006/relationships/image" Target="media/image1.tiff"/><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linz.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DBA12-0DB5-45C3-8DCE-6346BBE6A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2425</Words>
  <Characters>13825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Pre-contract disclosure statement for existing units</vt:lpstr>
    </vt:vector>
  </TitlesOfParts>
  <Company/>
  <LinksUpToDate>false</LinksUpToDate>
  <CharactersWithSpaces>16218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Pre-contract disclosure statement for existing units</dc:title>
  <dc:creator>Ceedee Doyle</dc:creator>
  <cp:lastModifiedBy>Ceedee Doyle</cp:lastModifiedBy>
  <cp:revision>2</cp:revision>
  <dcterms:created xsi:type="dcterms:W3CDTF">2025-09-24T05:00:00Z</dcterms:created>
  <dcterms:modified xsi:type="dcterms:W3CDTF">2025-09-24T05:00:00Z</dcterms:modified>
</cp:coreProperties>
</file>